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22-TA-1831: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„Finansējums augstas gatavības projektiem Covid-19 krīzes pārvarēšanai un ekonomikas atlabšanai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sagatavoto rīkojuma projektu, ņemot vērā, ka ar Ministru kabineta 2021.gada 14.decembra sēdes protokollēmuma  (prot. Nr.80 76. §) „Informatīvais ziņojums „Par finansējumu augstas gatavības kultūras infrastruktūras projektiem, kas saistīti ar Covid-19 krīzes pārvarēšanu un ekonomikas atlabšanu”” 4.punktu tika atbalstīts Kultūras ministrijas priekšlikums 2022. gadā augstas gatavības infrastruktūras projektu īstenošanai sagatavot un iesniegt pieprasījumu par finansējuma piešķiršanu no budžeta resora "74. Gadskārtējā valsts budžeta izpildes procesā pārdalāmais finansējums" valsts budžeta programmas 02.00.00 "Līdzekļi neparedzētiem gadījumiem" 991 151 euro apmērā un budžeta resora "74. Gadskārtējā valsts budžeta izpildes procesā pārdalāmais finansējums" valsts budžeta programmas 13.00.00 "Finansējums augstas gatavības projektiem Covid-19 krīzes pārvarēšanai un ekonomikas atlabšanai" 1 602 780 euro apmērā, kā arī ar 2022.gada 27.janvāra Ministru kabineta rīkojumu Nr.40 "Par finanšu līdzekļu piešķiršanu no valsts budžeta programmas "Līdzekļi neparedzētiem gadījumiem" 470 420 euro jau ir piešķirti profesionālās izglītības kompetences centram "Liepājas Mūzikas, mākslas un dizaina vidusskola". Tādējādi rīkojuma projektā paredzētā projekta īstenošanai finansējuma apmērs no valsts budžeta programmas 02.00.00 "Līdzekļi neparedzētiem gadījumiem" nevar pārsniegt 520 731 euro, bet pārējais nepieciešamais finansējums ir nodrošināms no budžeta resora "74. Gadskārtējā valsts budžeta izpildes procesā pārdalāmais finansējums" valsts budžeta programmas 13.00.00 "Finansējums augstas gatavības projektiem Covid-19 krīzes pārvarēšanai un ekonomikas atlabšanai".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„Finansējums augstas gatavības projektiem Covid-19 krīzes pārvarēšanai un ekonomikas atlabšanai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anotācijas pielikuma iepirkuma komisijas sēdes protokolu Nr.20, jo šādi iepirkuma komisijas dokumenti attiecas uz pasūtītāja kompetences un atbildības jautājumiem un Ministru kabinets par tiem lēmumus nepieņem.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“Risinājuma apraksts” 2.punktā norādīto informāciju par otrās cenu aptaujas (</w:t>
            </w:r>
            <w:r w:rsidR="00000000" w:rsidRPr="00000000" w:rsidDel="00000000">
              <w:rPr>
                <w:i w:val="1"/>
                <w:rtl w:val="0"/>
              </w:rPr>
              <w:t xml:space="preserve">Pasūtītāja veiktas cenu aptaujas Nr.VNĪ/2022/CA-20 būvprojekta „Ēkas pārbūve prototipēšanas darbnīcas „Riga Makerspace” izveidei A.Briāna iela 13, Rīga” rezultātiem</w:t>
            </w:r>
            <w:r w:rsidR="00000000" w:rsidRPr="00000000" w:rsidDel="00000000">
              <w:rPr>
                <w:rtl w:val="0"/>
              </w:rPr>
              <w:t xml:space="preserve">) saturu, proti, uz kādiem darbiem vai pakalpojumiem tieši tā attiecas, kā arī, ievērojot arī zemāk ietverto informāciju par šī projekta dažādām izmaksām, tās atbilstību publisko iepirkumu regulējumam (piemēram, attiecībā uz citām cenu aptaujām ir norādīts, ka tās ir īstenotas noslēgto vispārīgo vienošanos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informāciju anotācijas 1.3.sadaļā, kur uzrādīts, ka Energoefektivitātes projekta īstenošanai starp valsts akciju sabiedrību „Valsts nekustamie īpašumi” un Centrālo finanšu un līgumu aģentūru 2019.gada 10.decembrī noslēgts līgums par kopējo summu 506 925 euro (tai skaitā 430 886 euro Eiropas Reģionālā attīstības fonda finansējums un 76 039 euro valsts budžeta finansējums), bet anotācijas pielikumā Nr.2 iekļautā informācija liecina, ka šī līguma summa ir 506 966,50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skaidrs, kā veidojas šajā sadaļā uzrādītais būvdarbu veikšanai pieejamais finansējums 9 013 584,16 euro, tādējādi nav skaidrs, kā tiek iegūts būvniecības izmaksu iztrūkums 700 000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kas veidojas 1.3.sadaļas Pašreizējās situācijas apraksta pēdējās 2 rindkopās (5.lpp.), jo no priekšpēdējā rindkopā iekļautās informācijas izriet, ka 2022.gadā nepieciešams finansējums 700 000 euro apmērā ar PVN, bet savukārt pēdējā rindkopā iekļautā informācija liecina, ka prototipēšanas darbnīcas "Riga Makerspace" izbūves darbiem PVN netiek piemērots.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 iebildumu par rīkojuma projektu, lūdzam precizēt arī sadaļā "Cita informācija"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pielikumā Nr.2 "Projekta "Prototipēšanas dabnīcas "Riga Makerspace" izveide nekustamajā īpašumā A.Briāna ielā 13" budžeta prognoze" iekļauto informāciju par plānotā finansējuma 700 000 euro apmērā izlietojumu, jo no valsts budžeta programmas 02.00.00 "Līdzekļi neparedzētiem gadījumiem" finansējumu nevar piešķirt tādiem nekonkrētiem izdevumiem kā "Projekta finanšu rezerve būvdarbu sadārdzinājuma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6.-7.lp. norādītais – “</w:t>
            </w:r>
            <w:r w:rsidR="00000000" w:rsidRPr="00000000" w:rsidDel="00000000">
              <w:rPr>
                <w:i w:val="1"/>
                <w:rtl w:val="0"/>
              </w:rPr>
              <w:t xml:space="preserve">2022.gadam piešķirtais finansējums būvniecībā tiks apgūts līdz 2022.gada beigām, bet </w:t>
            </w:r>
            <w:r w:rsidR="00000000" w:rsidRPr="00000000" w:rsidDel="00000000">
              <w:rPr>
                <w:i w:val="1"/>
                <w:u w:val="single"/>
                <w:rtl w:val="0"/>
              </w:rPr>
              <w:t xml:space="preserve">atlikušie būvdarbi un pilna Revitalizācijas projekta pabeigtība tiks sasniegta 2023.gada ietvaros</w:t>
            </w:r>
            <w:r w:rsidR="00000000" w:rsidRPr="00000000" w:rsidDel="00000000">
              <w:rPr>
                <w:i w:val="1"/>
                <w:rtl w:val="0"/>
              </w:rPr>
              <w:t xml:space="preserve">”</w:t>
            </w:r>
            <w:r w:rsidR="00000000" w:rsidRPr="00000000" w:rsidDel="00000000">
              <w:rPr>
                <w:rtl w:val="0"/>
              </w:rPr>
              <w:t xml:space="preserve"> neveido pretrunu ar anotācijas 2.lp. citstarp norādīto – </w:t>
            </w:r>
            <w:r w:rsidR="00000000" w:rsidRPr="00000000" w:rsidDel="00000000">
              <w:rPr>
                <w:i w:val="1"/>
                <w:rtl w:val="0"/>
              </w:rPr>
              <w:t xml:space="preserve">“protokollēmuma Nr.28 6.punkts nosaka, ka tiek atbalstīti ar Covid-19 krīzes pārvarēšanu un ekonomikas atlabšanu saistīti augstas gatavības projekti, kuri ir vienreizēji, terminēti, to īstenošana tiek uzsākta 2021.gadā un </w:t>
            </w:r>
            <w:r w:rsidR="00000000" w:rsidRPr="00000000" w:rsidDel="00000000">
              <w:rPr>
                <w:i w:val="1"/>
                <w:u w:val="single"/>
                <w:rtl w:val="0"/>
              </w:rPr>
              <w:t xml:space="preserve">tie ir pilnībā īstenojami līdz 2022.gada beigām, sasniedzot mērķi </w:t>
            </w:r>
            <w:r w:rsidR="00000000" w:rsidRPr="00000000" w:rsidDel="00000000">
              <w:rPr>
                <w:i w:val="1"/>
                <w:rtl w:val="0"/>
              </w:rPr>
              <w:t xml:space="preserve">[..]”</w:t>
            </w:r>
            <w:r w:rsidR="00000000" w:rsidRPr="00000000" w:rsidDel="00000000">
              <w:rPr>
                <w:rtl w:val="0"/>
              </w:rPr>
              <w:t xml:space="preserve"> un tādējādi, vai nav nepieciešams veikt attiecīgus grozījumus attiecībā uz Ministru kabineta iepriekš pieņemtajiem lēmumiem. Tā kā no minētā ir secināms, ka visa līgumsumma faktiski tiks izmaksāta vēl pirms līguma pilnīgas izpildes, lūdzam izvērtēt, vai šāda pieeja nerada strīdīgu situāciju nākotnē iespējas (piemēram, darbu nepienācīgas/nepilnīgas izpildes risku vai 2023.gadā atlikušo darbu objektīvi neparedzamu sadārdzinājumu neapmaksāšanas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Ministru kabineta 2021.gada 14.decembra sēdes protokollēmuma  (prot. Nr.80 76. §) „Informatīvais ziņojums „Par finansējumu augstas gatavības kultūras infrastruktūras projektiem, kas saistīti ar Covid-19 krīzes pārvarēšanu un ekonomikas atlabšanu”” punktu, mainot 4.2.apakšpunktu uz 4.3.apakšpunktu.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Kultūras ministrijas ierosinājumu profesionālās izglītības kompetences centram „Rīgas Dizaina un mākslas vidusskola” un Latvijas Mākslas akadēmijai prototipēšanas darbnīcu „Riga Makerspace” aprīkojuma iegādei Aristida Briāna ielā 13, Rīgā paredzēto finansējumu 700 000 euro apmērā novirzīt Revitalizācijas projekta būvniecības un to izmaksu pieauguma segšanai, lūdzam papildināt anotāciju ar skaidrojumu, kā tiks nodrošināta projekta pabeigtība un mērķu sasniegšana, ja projekta īstenošanas gaitā netiks veikta aprīkojuma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22-TA-1831</w:t>
    </w:r>
    <w:r>
      <w:br/>
    </w:r>
    <w:r w:rsidR="00000000" w:rsidRPr="00000000" w:rsidDel="00000000">
      <w:rPr>
        <w:rtl w:val="0"/>
      </w:rPr>
      <w:t xml:space="preserve">16.06.2022. 10.36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22-TA-1831</w:t>
    </w:r>
    <w:r>
      <w:br/>
    </w:r>
    <w:r w:rsidR="00000000" w:rsidRPr="00000000" w:rsidDel="00000000">
      <w:rPr>
        <w:rtl w:val="0"/>
      </w:rPr>
      <w:t xml:space="preserve">16.06.2022. 10.36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Izziņa_22-TA-1831.docx</dc:title>
</cp:coreProperties>
</file>

<file path=docProps/custom.xml><?xml version="1.0" encoding="utf-8"?>
<Properties xmlns="http://schemas.openxmlformats.org/officeDocument/2006/custom-properties" xmlns:vt="http://schemas.openxmlformats.org/officeDocument/2006/docPropsVTypes"/>
</file>