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24-TA-593: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1.4.1. specifiskā atbalsta mērķa “Uzlabot digitālo savienojamību” 1.4.1.1. pasākuma “Platjoslas infrastruktūras attīstība (pēdējā jūdze)”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Pasākums tiek īstenots Latvijas teritorijā vietās, kurās nav esoša vai attiecīgajā laikposmā izvēršanai ticami plānota tīkla, kas maksimumstundas apstākļos nodrošinātu vismaz 100 Mb/s lejupielādes ātrumu (robežvērtības ātrums) atbilstoši regulas </w:t>
            </w:r>
            <w:r w:rsidR="00000000" w:rsidRPr="00000000" w:rsidDel="00000000">
              <w:rPr>
                <w:rtl w:val="0"/>
              </w:rPr>
              <w:t xml:space="preserve">Nr. 651/2014 </w:t>
            </w:r>
            <w:r w:rsidR="00000000" w:rsidRPr="00000000" w:rsidDel="00000000">
              <w:rPr>
                <w:rtl w:val="0"/>
              </w:rPr>
              <w:t xml:space="preserve"> 52. panta 3. punkta "a" apakšpunktam, izņemot teritorijas, kas atbilst regulas </w:t>
            </w:r>
            <w:r w:rsidR="00000000" w:rsidRPr="00000000" w:rsidDel="00000000">
              <w:rPr>
                <w:rtl w:val="0"/>
              </w:rPr>
              <w:t xml:space="preserve">Nr. 651/2014</w:t>
            </w:r>
            <w:r w:rsidR="00000000" w:rsidRPr="00000000" w:rsidDel="00000000">
              <w:rPr>
                <w:rtl w:val="0"/>
              </w:rPr>
              <w:t xml:space="preserve"> 52. panta 4. punkta nosacījumiem, ko pārbauda saskaņā ar regulas </w:t>
            </w:r>
            <w:r w:rsidR="00000000" w:rsidRPr="00000000" w:rsidDel="00000000">
              <w:rPr>
                <w:rtl w:val="0"/>
              </w:rPr>
              <w:t xml:space="preserve">Nr. 651/2014</w:t>
            </w:r>
            <w:r w:rsidR="00000000" w:rsidRPr="00000000" w:rsidDel="00000000">
              <w:rPr>
                <w:rtl w:val="0"/>
              </w:rPr>
              <w:t xml:space="preserve"> 52. panta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4. punktā ir daļēji pārrakstīts Eiropas Komisijas 2014. gada 17. jūnija Regulas (ES) Nr. 651/2014, ar ko noteiktas atbalsta kategorijas atzīst par saderīgām ar iekšējo tirgu, piemērojot Līguma 107. un 108. pantu 52. panta 3. punkta "a" apakšpunkts. 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4. punktu, piemēram, svītrojot regulu dublējošās normas un tā vietā ietvert atsauci uz attiecīgo regulas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Pasākums tiek īstenots Latvijas teritorijā vietās, kuras atbilst regulas </w:t>
            </w:r>
            <w:r w:rsidR="00000000" w:rsidRPr="00000000" w:rsidDel="00000000">
              <w:rPr>
                <w:rtl w:val="0"/>
              </w:rPr>
              <w:t xml:space="preserve">Nr. 651/2014 </w:t>
            </w:r>
            <w:r w:rsidR="00000000" w:rsidRPr="00000000" w:rsidDel="00000000">
              <w:rPr>
                <w:rtl w:val="0"/>
              </w:rPr>
              <w:t xml:space="preserve"> 52. panta 3. punkta "a" apakšpunkta nosacījumiem par atbalsttiesīgiem apgabaliem, izņemot teritorijas, kas atbilst regulas </w:t>
            </w:r>
            <w:r w:rsidR="00000000" w:rsidRPr="00000000" w:rsidDel="00000000">
              <w:rPr>
                <w:rtl w:val="0"/>
              </w:rPr>
              <w:t xml:space="preserve">Nr. 651/2014</w:t>
            </w:r>
            <w:r w:rsidR="00000000" w:rsidRPr="00000000" w:rsidDel="00000000">
              <w:rPr>
                <w:rtl w:val="0"/>
              </w:rPr>
              <w:t xml:space="preserve"> 52. panta 4. punkta nosacījumiem, ko pārbauda saskaņā ar regulas </w:t>
            </w:r>
            <w:r w:rsidR="00000000" w:rsidRPr="00000000" w:rsidDel="00000000">
              <w:rPr>
                <w:rtl w:val="0"/>
              </w:rPr>
              <w:t xml:space="preserve">Nr. 651/2014</w:t>
            </w:r>
            <w:r w:rsidR="00000000" w:rsidRPr="00000000" w:rsidDel="00000000">
              <w:rPr>
                <w:rtl w:val="0"/>
              </w:rPr>
              <w:t xml:space="preserve"> 52. panta 5.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mērķa grupa ir elektronisko sakaru pakalpojumu galalietotāji, kas atrodas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minētajās teritorijās – mājsaimniecības (mājokļi) un uzņēmumi, kas ir sociālekonomiskie virzītājspēki saskaņā ar regulas </w:t>
            </w:r>
            <w:r w:rsidR="00000000" w:rsidRPr="00000000" w:rsidDel="00000000">
              <w:rPr>
                <w:rtl w:val="0"/>
              </w:rPr>
              <w:t xml:space="preserve">Nr. 651/2014</w:t>
            </w:r>
            <w:r w:rsidR="00000000" w:rsidRPr="00000000" w:rsidDel="00000000">
              <w:rPr>
                <w:rtl w:val="0"/>
              </w:rPr>
              <w:t xml:space="preserve"> 2. panta 139. b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sniegta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2021/1058 noteiktajos kopīgajos rādītājos izmantotais jēdziens “uzņēmums” pēc būtības ir saistāms ar uzņēmuma darbības ģeogrāfisko vietu (adresi), līdz ar to 1.4.1.1. pasākuma rādītāju izpildē kā “uzņēmums” ir pieslēdzamas “pēdējai jūdzei” un uzskaitāmas vietējās vienības (uzņēmums vai tā daļa, kas atrodas ģeogrāfiski identificētā vietā) atbilstoši rādītāju pasē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mērķa grupa ir elektronisko sakaru pakalpojumu galalietotāji, kas atrodas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minētajās teritorijās – mājsaimniecības (mājokļi) un sociālekonomiskie virzītājspēki saskaņā ar regulas </w:t>
            </w:r>
            <w:r w:rsidR="00000000" w:rsidRPr="00000000" w:rsidDel="00000000">
              <w:rPr>
                <w:rtl w:val="0"/>
              </w:rPr>
              <w:t xml:space="preserve">Nr. 651/2014</w:t>
            </w:r>
            <w:r w:rsidR="00000000" w:rsidRPr="00000000" w:rsidDel="00000000">
              <w:rPr>
                <w:rtl w:val="0"/>
              </w:rPr>
              <w:t xml:space="preserve"> 2. panta 139. b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plānotais kopējais attiecināmais finansējums ir 8 700 000 </w:t>
            </w:r>
            <w:r w:rsidR="00000000" w:rsidRPr="00000000" w:rsidDel="00000000">
              <w:rPr>
                <w:i w:val="1"/>
                <w:rtl w:val="0"/>
              </w:rPr>
              <w:t xml:space="preserve">euro</w:t>
            </w:r>
            <w:r w:rsidR="00000000" w:rsidRPr="00000000" w:rsidDel="00000000">
              <w:rPr>
                <w:rtl w:val="0"/>
              </w:rPr>
              <w:t xml:space="preserve"> (tai skaitā elastības finansējuma apjoms 1 372 211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w:t>
            </w:r>
            <w:r w:rsidR="00000000" w:rsidRPr="00000000" w:rsidDel="00000000">
              <w:rPr>
                <w:rtl w:val="0"/>
              </w:rPr>
              <w:t xml:space="preserve"> (tai skaitā elastības finansējuma apjoms 1 166 379 </w:t>
            </w:r>
            <w:r w:rsidR="00000000" w:rsidRPr="00000000" w:rsidDel="00000000">
              <w:rPr>
                <w:i w:val="1"/>
                <w:rtl w:val="0"/>
              </w:rPr>
              <w:t xml:space="preserve">euro</w:t>
            </w:r>
            <w:r w:rsidR="00000000" w:rsidRPr="00000000" w:rsidDel="00000000">
              <w:rPr>
                <w:rtl w:val="0"/>
              </w:rPr>
              <w:t xml:space="preserve">) un privātais finansējums – ne mazāks par 1 305 000 </w:t>
            </w:r>
            <w:r w:rsidR="00000000" w:rsidRPr="00000000" w:rsidDel="00000000">
              <w:rPr>
                <w:i w:val="1"/>
                <w:rtl w:val="0"/>
              </w:rPr>
              <w:t xml:space="preserve">euro</w:t>
            </w:r>
            <w:r w:rsidR="00000000" w:rsidRPr="00000000" w:rsidDel="00000000">
              <w:rPr>
                <w:rtl w:val="0"/>
              </w:rPr>
              <w:t xml:space="preserve"> (tai skaitā elastības finansējuma apjoms 205 832 </w:t>
            </w:r>
            <w:r w:rsidR="00000000" w:rsidRPr="00000000" w:rsidDel="00000000">
              <w:rPr>
                <w:i w:val="1"/>
                <w:rtl w:val="0"/>
              </w:rPr>
              <w:t xml:space="preserve">euro</w:t>
            </w:r>
            <w:r w:rsidR="00000000" w:rsidRPr="00000000" w:rsidDel="00000000">
              <w:rPr>
                <w:rtl w:val="0"/>
              </w:rPr>
              <w:t xml:space="preserve">). Maksimālā Eiropas Reģionālās attīstības fonda finansējuma intensitāte ir 85 % no projektam plānotā kopējā attiecināmā finansējuma, un privātais līdzfinansējums nav mazāks par 15 % no projektam plānotā kopējā attiecināmā finansējuma. Potenciālo neto ienākumu no projekta aprēķina saskaņā ar projekta diskontēto neto ienākumu aprēķināšanas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apstiprināto pasākuma ERAF finansējuma apjomu, kā arī Satiksmes ministrijas ierosinājumu sadalīt pasākuma īstenošanu divās kārtās, lūdzam par vienu euro palielināt privāto finansējumu, lai tiktu saglabāta ERAF finansējuma intensitāte, kura nevar pārsniegt 85%. Proti, privātais finansējums – ne mazāks par 1 305 001 euro. Vienlaikus lūdzam precizēt arī kopējo pasākuma finansējumu - 8 700 001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plānotais kopējais attiecināmais finansējums ir 8 700 001 </w:t>
            </w:r>
            <w:r w:rsidR="00000000" w:rsidRPr="00000000" w:rsidDel="00000000">
              <w:rPr>
                <w:i w:val="1"/>
                <w:rtl w:val="0"/>
              </w:rPr>
              <w:t xml:space="preserve">euro</w:t>
            </w:r>
            <w:r w:rsidR="00000000" w:rsidRPr="00000000" w:rsidDel="00000000">
              <w:rPr>
                <w:rtl w:val="0"/>
              </w:rPr>
              <w:t xml:space="preserve"> (tai skaitā elastības finansējuma apjoms 1 372 211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w:t>
            </w:r>
            <w:r w:rsidR="00000000" w:rsidRPr="00000000" w:rsidDel="00000000">
              <w:rPr>
                <w:rtl w:val="0"/>
              </w:rPr>
              <w:t xml:space="preserve"> (tai skaitā elastības finansējuma apjoms 1 166 379 </w:t>
            </w:r>
            <w:r w:rsidR="00000000" w:rsidRPr="00000000" w:rsidDel="00000000">
              <w:rPr>
                <w:i w:val="1"/>
                <w:rtl w:val="0"/>
              </w:rPr>
              <w:t xml:space="preserve">euro</w:t>
            </w:r>
            <w:r w:rsidR="00000000" w:rsidRPr="00000000" w:rsidDel="00000000">
              <w:rPr>
                <w:rtl w:val="0"/>
              </w:rPr>
              <w:t xml:space="preserve">) un privātais finansējums – ne mazāks par 1 305 001 </w:t>
            </w:r>
            <w:r w:rsidR="00000000" w:rsidRPr="00000000" w:rsidDel="00000000">
              <w:rPr>
                <w:i w:val="1"/>
                <w:rtl w:val="0"/>
              </w:rPr>
              <w:t xml:space="preserve">euro</w:t>
            </w:r>
            <w:r w:rsidR="00000000" w:rsidRPr="00000000" w:rsidDel="00000000">
              <w:rPr>
                <w:rtl w:val="0"/>
              </w:rPr>
              <w:t xml:space="preserve"> (tai skaitā elastības finansējuma apjoms 205 832 </w:t>
            </w:r>
            <w:r w:rsidR="00000000" w:rsidRPr="00000000" w:rsidDel="00000000">
              <w:rPr>
                <w:i w:val="1"/>
                <w:rtl w:val="0"/>
              </w:rPr>
              <w:t xml:space="preserve">euro</w:t>
            </w:r>
            <w:r w:rsidR="00000000" w:rsidRPr="00000000" w:rsidDel="00000000">
              <w:rPr>
                <w:rtl w:val="0"/>
              </w:rPr>
              <w:t xml:space="preserve">). Maksimālā Eiropas Reģionālās attīstības fonda finansējuma intensitāte ir 85 % no projektam plānotā kopējā attiecināmā finansējuma, un privātais līdzfinansējums nav mazāks par 15 % no projektam plānotā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Pieejamais attiecināmais finansējums līdz 2025. gada 31. decembrim, lai slēgtu līgumus par projektu īstenošanu, ir ne mazāks kā 7 327 789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6 228 621 </w:t>
            </w:r>
            <w:r w:rsidR="00000000" w:rsidRPr="00000000" w:rsidDel="00000000">
              <w:rPr>
                <w:i w:val="1"/>
                <w:rtl w:val="0"/>
              </w:rPr>
              <w:t xml:space="preserve">euro</w:t>
            </w:r>
            <w:r w:rsidR="00000000" w:rsidRPr="00000000" w:rsidDel="00000000">
              <w:rPr>
                <w:rtl w:val="0"/>
              </w:rPr>
              <w:t xml:space="preserve"> un privātais līdzfinansējums – ne mazāks kā 1 099 168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FM komentāru par privātā finansējuma palielināšanu MK noteikumu projekta 11.punktā, lūdzam palielināt par 1 euro arī 12.punktā iekļauto privāto finansējumu, proti, 1 099 169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Pieejamais attiecināmais finansējums līdz 2025. gada 31. decembrim, lai slēgtu līgumus par projektu īstenošanu, ir ne mazāks kā 7 327 790 </w:t>
            </w:r>
            <w:r w:rsidR="00000000" w:rsidRPr="00000000" w:rsidDel="00000000">
              <w:rPr>
                <w:i w:val="1"/>
                <w:rtl w:val="0"/>
              </w:rPr>
              <w:t xml:space="preserve">euro</w:t>
            </w:r>
            <w:r w:rsidR="00000000" w:rsidRPr="00000000" w:rsidDel="00000000">
              <w:rPr>
                <w:rtl w:val="0"/>
              </w:rPr>
              <w:t xml:space="preserve">, tai skaitā Eiropas Reģionālās attīstības fonda finansējums – 6 228 621 </w:t>
            </w:r>
            <w:r w:rsidR="00000000" w:rsidRPr="00000000" w:rsidDel="00000000">
              <w:rPr>
                <w:i w:val="1"/>
                <w:rtl w:val="0"/>
              </w:rPr>
              <w:t xml:space="preserve">euro</w:t>
            </w:r>
            <w:r w:rsidR="00000000" w:rsidRPr="00000000" w:rsidDel="00000000">
              <w:rPr>
                <w:rtl w:val="0"/>
              </w:rPr>
              <w:t xml:space="preserve"> un privātais līdzfinansējums – ne mazāks kā 1 099 169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var piesaistīt sadarbības partneri, noslēdzot sadarbības līgumu atbilstoši normatīvajiem aktiem par kārtību, kādā Eiropas Savienības fondu vadībā iesaistītās institūcijas nodrošina šo fondu ieviešanu 2021.–2027. gada plānošanas periodā. Sadarbības līgums nosaka savstarpējo atbildību, funkcijas, finansēšanas mehānismu (ja attiecināms), apņemšanos sasniegt projektam noteiktos rādītājus, pārskatu sniegšanas kārtību un pienākumus projekta sekmīgai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ir ietvertai informācija, ka projekta iesniedzējs var piesaistīt sadarbības partneri, kurš arī ir elektronisko sakaru komersants, kā arī var izpildīt minēto prasību par tīkla nodrošināšanu 300 adresēs kopā ar partneri. Attiecīgi, lūdzam papildināt MKN noteikumu projektu ar šādu punkta normu un/vai tās papildinājumu.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22.punkts papildināts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Atbilstību šo noteikumu 20. punktā noteiktajām prasībām projekta iesniedzējs apliecina, iesniedzot sadarbības iestādē šo noteikumu pielikumā noteikto informāciju. Projekta iesniedzējs 20.2. apakšpunktā noteikto prasību par tīkla nodrošināšanu 300 adresēs var izpildīt kopā ar sadarbības partneri. Sadarbības partnerim ir pienākums ievērot šo noteikumu 37.6.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var piesaistīt sadarbības partneri, noslēdzot sadarbības līgumu atbilstoši normatīvajiem aktiem par kārtību, kādā Eiropas Savienības fondu vadībā iesaistītās institūcijas nodrošina šo fondu ieviešanu 2021.–2027. gada plānošanas periodā. Sadarbības līgums nosaka savstarpējo atbildību, funkcijas, finansēšanas mehānismu (ja attiecināms), apņemšanos sasniegt projektam noteiktos rādītājus, pārskatu sniegšanas kārtību un pienākumus projekta sekmīgai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uzsāk projektā paredzēto darbību īstenošanu pēc projekta iesnieguma iesniegšanas sadarbības iestādē, atbilstoši regulas </w:t>
            </w:r>
            <w:r w:rsidR="00000000" w:rsidRPr="00000000" w:rsidDel="00000000">
              <w:rPr>
                <w:rtl w:val="0"/>
              </w:rPr>
              <w:t xml:space="preserve">Nr. 651/2024</w:t>
            </w:r>
            <w:r w:rsidR="00000000" w:rsidRPr="00000000" w:rsidDel="00000000">
              <w:rPr>
                <w:rtl w:val="0"/>
              </w:rPr>
              <w:t xml:space="preserve"> 6. panta 2. punktam un </w:t>
            </w:r>
            <w:r w:rsidR="00000000" w:rsidRPr="00000000" w:rsidDel="00000000">
              <w:rPr>
                <w:rtl w:val="0"/>
              </w:rPr>
              <w:t xml:space="preserve">Nr. 651/2014</w:t>
            </w:r>
            <w:r w:rsidR="00000000" w:rsidRPr="00000000" w:rsidDel="00000000">
              <w:rPr>
                <w:rtl w:val="0"/>
              </w:rPr>
              <w:t xml:space="preserve"> 2. panta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31. punktā norādīto, ka izmaksas attiecināmas arī uz sadarbības partneri un noteikumu projekta 44. punktā norādīto, ka projekta rezultātā veiktie ieguldījumi ir arī sadarbības partnera (ja attiecināms) īpašums, lūdzam atbilstoši precizēt noteikumu projekta 24. punktu, nosakot, ka arī uz sadarbības partneri (ja attiecināms) ir attiecināmi stimulējošās ietekmes nosacījumi, kas izriet no Komisijas regulas Nr. 651/2024 6. panta 2. punkta un 2. panta 23.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un sadarbības partneris uzsāk projektā paredzēto darbību īstenošanu pēc projekta iesnieguma iesniegšanas sadarbības iestādē, atbilstoši regulas </w:t>
            </w:r>
            <w:r w:rsidR="00000000" w:rsidRPr="00000000" w:rsidDel="00000000">
              <w:rPr>
                <w:rtl w:val="0"/>
              </w:rPr>
              <w:t xml:space="preserve">Nr. 651/2024</w:t>
            </w:r>
            <w:r w:rsidR="00000000" w:rsidRPr="00000000" w:rsidDel="00000000">
              <w:rPr>
                <w:rtl w:val="0"/>
              </w:rPr>
              <w:t xml:space="preserve"> 6. panta 2. punktam un regulas </w:t>
            </w:r>
            <w:r w:rsidR="00000000" w:rsidRPr="00000000" w:rsidDel="00000000">
              <w:rPr>
                <w:rtl w:val="0"/>
              </w:rPr>
              <w:t xml:space="preserve">Nr. 651/2014</w:t>
            </w:r>
            <w:r w:rsidR="00000000" w:rsidRPr="00000000" w:rsidDel="00000000">
              <w:rPr>
                <w:rtl w:val="0"/>
              </w:rPr>
              <w:t xml:space="preserve"> 2. panta 23.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finansējuma saņēmējs vai sadarbības partneris, atbilstoši normatīvajiem aktiem būvniecības jomā ir reģistrēts Būvniecības informācijas sistēmā kā būvkomersants attiecīgajā specialitātē un darbības sfērā, kurā veikti attiecīgie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 punkta norma ar prasību tikai vienam no partneriem būt reģistrētam kā būvkomersantam nenonāk pretrunā ar 21.punktu un anotācijā skaidroto, ka finansējuma saņēmējs var piesaistīt sadarbības partneri, kas ari ir elektronisko sakaru komersants un kopā tie var izpildīt minēto prasību par tīkla nodrošināšanu 300 adresēs, proti, vai ir iespējama tīkla nodrošināšana bez būvkomersanta statusa.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20.punktā minētā tīkla nodrošināšana 300 adresēs ir   pieredzes prasības, kas jāizpilda iepriekšējo trīs gadu laikā un kārtējā gadā līdz projekta iesniegšanas termiņa beigām.  Atbilstība šīm prasībām projekta iesniedzējam pašam vai kopā ar sadarbības partneri ir jānodrošina, lai tas varētu kvalificēties dalībai atklātā projektu atlasē.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31.1. apakšpunkts attiecas uz attiecināmajām izmaksām un tajā ir izvirzītas prasības, kas jāizpilda finansējuma saņēmējam vai sadarbības partnerim, lai tā paša spēkiem veikto darbu izmaksas varētu attiecināt 1.4.1.1. pasākuma ietvaros. Ja projekta finansējuma saņēmējam un sadarbības partnerim nav 31.1. apakšpunktā minētā būvkomersanta statusa, tas var nodrošināt projektā paredzēto elektronisko sakaru tīkla izbūvi, veicot būvdarbu iepirkumu.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finansējuma saņēmējam un sadarbības partnerim projekta īstenošanai nav obligāti nepieciešams būvkomersanta statuss. Šis statuss ir nepieciešams, lai finansējuma saņēmējam vai sadarbības partnerim varētu attiecināt tīkla būvniecības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w:t>
            </w:r>
            <w:r w:rsidR="00000000" w:rsidRPr="00000000" w:rsidDel="00000000">
              <w:rPr>
                <w:rtl w:val="0"/>
              </w:rPr>
              <w:t xml:space="preserve">30.1.</w:t>
            </w:r>
            <w:r w:rsidR="00000000" w:rsidRPr="00000000" w:rsidDel="00000000">
              <w:rPr>
                <w:rtl w:val="0"/>
              </w:rPr>
              <w:t xml:space="preserve">, </w:t>
            </w:r>
            <w:r w:rsidR="00000000" w:rsidRPr="00000000" w:rsidDel="00000000">
              <w:rPr>
                <w:rtl w:val="0"/>
              </w:rPr>
              <w:t xml:space="preserve">30.3.</w:t>
            </w:r>
            <w:r w:rsidR="00000000" w:rsidRPr="00000000" w:rsidDel="00000000">
              <w:rPr>
                <w:rtl w:val="0"/>
              </w:rPr>
              <w:t xml:space="preserve">, </w:t>
            </w:r>
            <w:r w:rsidR="00000000" w:rsidRPr="00000000" w:rsidDel="00000000">
              <w:rPr>
                <w:rtl w:val="0"/>
              </w:rPr>
              <w:t xml:space="preserve">30.4.</w:t>
            </w:r>
            <w:r w:rsidR="00000000" w:rsidRPr="00000000" w:rsidDel="00000000">
              <w:rPr>
                <w:rtl w:val="0"/>
              </w:rPr>
              <w:t xml:space="preserve">​​​​, un </w:t>
            </w:r>
            <w:r w:rsidR="00000000" w:rsidRPr="00000000" w:rsidDel="00000000">
              <w:rPr>
                <w:rtl w:val="0"/>
              </w:rPr>
              <w:t xml:space="preserve">30.6.</w:t>
            </w:r>
            <w:r w:rsidR="00000000" w:rsidRPr="00000000" w:rsidDel="00000000">
              <w:rPr>
                <w:rtl w:val="0"/>
              </w:rPr>
              <w:t xml:space="preserve"> ​​​​​​ apakšpunktā minēto darbu veikšanai - finansējuma saņēmējs vai sadarbības partneris, atbilstoši normatīvajiem aktiem būvniecības jomā ir reģistrēts Būvniecības informācijas sistēmā kā būvkomersants attiecīgajā specialitātē un darbības sfērā, kurā veikti attiecīgie darbi, un darbu veicēji ir sertificēti atbilstoši normatīvajiem aktiem būvniecības jomā attiecīgajā darbības sfērā, ja to nosaka normatīvie akti būvniecības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projektu īstenošanas un uzraudzības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paredzēts saimnieciskās darbības veicējam, MK noteikumu projektā jābūt noteiktam, ka plānotais atbalsts jāvērtē un jāpiešķir saistīto uzņēmumu līmenī, ko nosaka atbilstoši Komisijas regulas Nr. 651/2014 I pielikumā 3.panta 3.punktā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sniegšanas nosacījumu sadaļa papildināta ar attiecīgu prasību 47. un 50. punktā. Papildināta anotācijas sadaļa par atbilstību regulai Nr. 651/2014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Uz projekta iesnieguma iesniegšanas dienu un atbalsta piešķiršanas brīdi tiek vērtēts, vai finansējuma saņēmējs un sadarbības partneris nav grūtībās nonācis uzņēmums, kas definēts regulas Nr. 651/2014 2. panta 18. punktā. Atbilstību šī punkta nosacījumiem vērtē saistīto uzņēmumu līmenī, ko nosaka atbilstoši regulas Nr. 651/2014 I pielikuma 3.panta 3.punktā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Atbalsts netiek sniegts finansējuma saņēmējam un sadarbības partnerim (ja attiecināms), uz kuru attiecas neizpildīts līdzekļu atgūšanas rīkojums saskaņā ar iepriekšēju Eiropas Komisijas lēmumu, ar ko atbalsts tiek atzīts par nelikumīgu un nesaderīgu ar kopējo tirgu. Atbilstību šī punkta nosacījumiem vērtē saistīto uzņēmumu līmenī, ko nosaka atbilstoši regulas Nr. 651/2014 I pielikuma 3.panta 3.punktā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projektu īstenošanas un uzraudzības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nodrošina komunikācijas un vizuālās identitātes pasākumus atbilstoši nosacījumiem saskaņā ar regulas </w:t>
            </w:r>
            <w:r w:rsidR="00000000" w:rsidRPr="00000000" w:rsidDel="00000000">
              <w:rPr>
                <w:rtl w:val="0"/>
              </w:rPr>
              <w:t xml:space="preserve">Nr. 2021/1060</w:t>
            </w:r>
            <w:r w:rsidR="00000000" w:rsidRPr="00000000" w:rsidDel="00000000">
              <w:rPr>
                <w:rtl w:val="0"/>
              </w:rPr>
              <w:t xml:space="preserve"> 47. pantu un 50. pantu, un kārtību, kādā Eiropas Savienības fondu vadībā iesaistītās institūcijas nodrošina šo fondu ieviešanu 2021.–2027.gada plānošanas periodā, ņemot vērā stratēģiskas nozīmes projektam noteiktās prasības, kas noteiktas vadošās iestādes izstrādāto Eiropas Savienības fondu 2021.–2027. gada plānošanas perioda un Atveseļošanas fonda komunikācijas un dizaina vadlīniju 3. nodaļā “Atveseļošanas fonda prasības”,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37.4. apakšpunktā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sniegta informācija par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nodrošina komunikācijas un vizuālās identitātes pasākumus atbilstoši nosacījumiem saskaņā ar regulas </w:t>
            </w:r>
            <w:r w:rsidR="00000000" w:rsidRPr="00000000" w:rsidDel="00000000">
              <w:rPr>
                <w:rtl w:val="0"/>
              </w:rPr>
              <w:t xml:space="preserve">Nr. 2021/1060</w:t>
            </w:r>
            <w:r w:rsidR="00000000" w:rsidRPr="00000000" w:rsidDel="00000000">
              <w:rPr>
                <w:rtl w:val="0"/>
              </w:rPr>
              <w:t xml:space="preserve"> 47. pantu un 50. pantu, un kārtību, kādā Eiropas Savienības fondu vadībā iesaistītās institūcijas nodrošina šo fondu ieviešanu 2021.–2027.gada plānošanas periodā, ņemot vērā stratēģiskas nozīmes projektam noteiktās prasības, tostarp: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nodrošina īpašuma, lietojuma vai apbūves tiesību iegūšanu uz nekustamo īpašumu, kurā plānots veikt ieguldījumus, projekta īstenošanas laikā. Tās nostiprina valsts vienotajā datorizētajā zemesgrāmatā, izņemot gadījumu, ja nacionālais normatīvais regulējums nosaka citu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šis nosacījums par īpašuma, lietojuma vai apbūves tiesību iegūšanu uz nekustamo īpašumu, kurā plānots veikt ieguldījumus, projekta īstenošanas laikā, nodrošina MK noteikumu 37.1. apakšpunkta prasību par projekta rezultātu ilgtspējas nodrošināšanu vismaz piecus gadus pēc projekta pabeigšanas. Nepieciešamības gadījumā lūdzam precizēt šī punkta normas nosacījumus, lai salāgotu tās ar projekta ilgtspējas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apakšpunkts svītrots, sniedzot šādu skaidrojumu noteikumu projekta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likuma 28.panta pirmo daļu elektronisko sakaru komersantiem ir tiesības ierīkot un būvēt (arī pārbūvēt) publiskos elektronisko sakaru tīklus un to infrastruktūras inženierbūves (kabeļu kanalizāciju, kabeļu akas, stabus, mastus, torņus, konteinerus) valsts, pašvaldību un privātā īpašuma teritorijā, iepriekš saskaņojot projektu un darbu veikšanas laikus ar nekustamā īpašuma īpašnieku vai tiesisko valdītāju būvniecības normatīvajos aktos noteiktajā kārtībā. Tādējādi īpašumu var apgrūtināt ar publisko elektronisko sakaru tīklu, tikai saskaņojot ar nekustamā īpašuma īpašnieku. Īpašums netiek atsavināts, jo jebkurš elektronisko sakaru tīkls ir pārvietojams un demontējams, ja tā izmantošana nav vairs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Elektroniskā sakaru likuma 30.panta pirmajā daļā  ir noteikts, ka publisko elektronisko sakaru tīklu nodrošināšanai un elektronisko sakaru pakalpojumu sniegšanai par labu publiskā elektronisko sakaru tīkla komersantam tiek  noteikts nekustamā īpašuma lietošanas tiesību aprobežojums. Šis aprobežojums ir spēkā no dienas, kad attiecīgais elektronisko sakaru tīkls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tīkla ekspluatāciju, 1.4.1.1. pasākuma ietvaros noteiktajam finansējuma saņēmējam nav nepieciešams atsevišķi noteikt obligātu īpašuma, lietojuma vai apbūves tiesību iegūšanu uz attiecīgo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elektronisko sakaru tīklu izbūvi ir piemērojami normatīvie akti būvniecības jomā un elektronisko sakaru jomā, saskaņā ar kuriem elektronisko sakaru tīklu izbūvei ir pietiekami saņemt attiecīgā nekustamā īpašuma īpašnieka saskaņojumu.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5.panta pirmās 2.punktu būvatļauju izdod, ja būvniecības iecere ir saskaņota ar zemes gabala īpašnieku un būves īpašnieku gadījumā, kad būvniecība paredzēta esošā būvē, vai zemes gabala īpašnieks ir informēts gadījumā, kad to prasa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2014.gada 19.augusta noteikumu Nr.501 ”Elektronisko sakaru inženierbūvju būvnoteikumi” 8.punkts nosaka, ka būvniecības vai ierīkošanas ierosinātājs nodrošina saskaņojumus elektronisko sakaru tīkla ierīkošanas projekta vai elektronisko sakaru tīkla būvprojekta īstenošanai atbilstoši būvniecību un īpašumtiesības reglamentējošo normatīvo aktu, kā arī tehnisko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projekta īstenošanai nepieciešamo preču un pakalpojumu iegādi veic saskaņā ar normatīvajiem aktiem par iepirkuma procedūru un tās piemērošanas kārtību pasūtītāja finansētiem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projekta īstenošanai nepieciešamo preču un pakalpojumu sniedzējiem netiek piešķirts komercdarbības atbalsts, lūdzam noteikumu projekta 40.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(ja attiecināms) projekta īstenošanai nepieciešamo preču un pakalpojumu iegādi veic saskaņā ar publisko iepirkumu reglamentējošajiem normatīvajiem aktiem, īstenojot atklātu, pārredzamu, nediskriminējošu un konkurenci nodrošinošu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un sadarbības partneris projekta īstenošanai nepieciešamo preču un pakalpojumu iegādi veic saskaņā ar publisko iepirkumu reglamentējošajiem normatīvajiem aktiem, īstenojot atklātu, pārredzamu, nediskriminējošu un konkurenci nodrošinošu konkursa procedūru.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komercdarbības regulējuma nosacījumi, kas attiecināmi uz ieguldījumiem fiksēto platjoslas tīklu infrastruktūrā,  jāievēro visā pasākuma ietvaros attīstītās infrastruktūras amortizācijas periodā jeb dzīves ciklā. Attiecīgi lūdzam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punkti papildināti.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projekta ietvaros izbūvētais tīkls ir ļoti augstas veiktspējas tīkls un visā šī pasākuma ietvaros izveidotās infrastruktūras amortizācijas periodā 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 finansējuma saņēmējs un sadarbības partneris (ja attiecināms) pēc projekta pabeigšanas visā šī pasākuma ietvaros izveidotās infrastruktūras amortizācijas periodā  nodrošina galalietotājiem regulas 651/2014 2.panta 139.a punktam atbilstošu ikmēneša abonēšanas cenu par platjoslas pieslēgumu ļoti augstas veiktspējas tīklam, kā arī kopā ar projekta iesniegumu iesniedz sadarbības iestādē apliecinājumu, ka minētā ikmēneša abonēšanas cena nepārsniedz finansējuma saņēmēja parasto piemēroto maksu par platjoslas pieslēgumu, proti, tā neietver nekādas papildu vai neparedzētas izmaksas salīdzinājumā ar standarta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Pasākuma investīcijas rezultātā izveidotās infrastruktūras piekļuves noteikumu uzraudzību visā šī pasākuma ietvaros izveidotās infrastruktūras amortizācijas periodā nodrošina  nozares ministrija saskaņā ar tiesību aktiem ļoti augstas veiktspējas tīklu infrastruktūras attīstības un atbalsta jomā izveidota Subsidēto elektronisko sakaru tīklu uzraudzības komiteja, kura, ievērojot regulas Nr. 651/2014 52. panta 8. un 9. punktu, veic sekojošus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netiek pārsniegtas Komisijas regulas Nr. 651/2014 4. panta y) apakšpunktā noteiktās paziņošanas robežvērtības, lūdzam papildināt noteikumu projektu ar atbilstošu normu. Papildus lūdzam arī atbilstoši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noteikumu projekta 46.punkts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ietvaros īstenotajos projektos atbalsta instruments ir grants, maksimālā atbalsta summa individuālam projektam ir noteikta šo noteikumu 13. un 14. punktā, nepārsniedzot regulas Nr. 651/2014 4. panta y apakšpunktā vienam projektam  noteikto paziņošanas robežvērtību, un kopējais pieļaujamais atbalsta apmērs ir noteikts 7 395 000 euro šo noteikumu 29. punktā minētajām darbībām un šo noteikumu 30. punktā minētajām attiecināmajām izmaksām, ievērojot, ka maksimālā atbalsta intensitāte ir 85 %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pasākumā plānoti ieguldījumi gan finansējuma saņēmēja, gan sadarbības partnera īpašumā/infrastruktūrā, lūdzam precizēt noteikumu projekta normas par komercdarbības atbalsta piemērošanu, attiecinot komercdarbības atbalsta nosacījumus arī uz sadarbības partneri (piemēram, noteikumu projekta 45.4., 45.5. apakšpunkts).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un 45.5. apakšpunkts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normu, kas nosaka termiņu, līdz kuram var pieņemt lēmumu par atbalsta piešķiršanu, ievērojot Komisijas regulas Nr. 651/2014 58. panta 4. punktā un 59. pantā noteikto darbības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50.punktu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Par atbalsta piešķiršanas brīdi uzskata dienu, kad pieņemts atbalsta sniedzēja lēmums par projekta apstiprināšanu vai atzinums par nosacījumu izpildi atbilstoši regulas Nr. 651/2014 2.panta 28.punktam. Lēmumu par atbalsta piešķiršanu pieņem līdz termiņam, kas noteikts regulas Nr. 651/2014 58.panta 4.punktā.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uz pasākumu attiecināmiem uzraudzības un dokumentu glabāšanas nosacījumiem, kas izriet no Komisijas regulas Nr. 651/2014 12. panta gan attiecībā uz atbalsta sniedzēju, gan atbalsta saņēmēju.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53.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iestāde, finansējuma saņēmējs un partneris (ja attiecināms) nodrošina uzraudzības un dokumentu glabāšanas nosacījumus atbilstoši regulas Nr. 651/2014 12.panta 1. un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Uz projekta iesnieguma iesniegšanas dienu un atbalsta piešķiršanas brīdi tiek vērtēts, vai finansējuma saņēmējs un sadarbības partneris nav grūtībās nonācis uzņēmums, kas definēts regulas </w:t>
            </w:r>
            <w:r w:rsidR="00000000" w:rsidRPr="00000000" w:rsidDel="00000000">
              <w:rPr>
                <w:rtl w:val="0"/>
              </w:rPr>
              <w:t xml:space="preserve">Nr. 651/2014</w:t>
            </w:r>
            <w:r w:rsidR="00000000" w:rsidRPr="00000000" w:rsidDel="00000000">
              <w:rPr>
                <w:rtl w:val="0"/>
              </w:rPr>
              <w:t xml:space="preserve"> 2. panta 18.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Regulas Nr. 651/2014 2. panta 18. punkta nosacījumi ir jāvērtē/jāpiemēro uzņēmuma grupas līmenī (Komisijas Regulas Nr. 651/2014 angliskajā versijā nosacījumi, kas ir attiecināmi uz ‘undertaking’, ir jāpārbauda/jāpiemēro uzņēmuma grupas līmenī). Attiecīgi lūdzam papildināt noteikumu projekta 47. punktu ar nosacījumu, ka finansējuma saņēmējs un sadarbības partneris (ja attiecināms) tiks vērtēts grupas līmenī, tādējādi nodrošinot, ka finansējuma saņēmējs un sadarbības partneris tiek vērtēti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Uz projekta iesnieguma iesniegšanas dienu un atbalsta piešķiršanas brīdi tiek vērtēts, vai finansējuma saņēmējs un sadarbības partneris nav grūtībās nonācis uzņēmums, kas definēts regulas </w:t>
            </w:r>
            <w:r w:rsidR="00000000" w:rsidRPr="00000000" w:rsidDel="00000000">
              <w:rPr>
                <w:rtl w:val="0"/>
              </w:rPr>
              <w:t xml:space="preserve">Nr. 651/2014</w:t>
            </w:r>
            <w:r w:rsidR="00000000" w:rsidRPr="00000000" w:rsidDel="00000000">
              <w:rPr>
                <w:rtl w:val="0"/>
              </w:rPr>
              <w:t xml:space="preserve"> 2. panta 18. punktā. Atbilstību šī punkta nosacījumiem vērtē saistīto uzņēmumu līmenī, ko nosaka atbilstoši regulas </w:t>
            </w:r>
            <w:r w:rsidR="00000000" w:rsidRPr="00000000" w:rsidDel="00000000">
              <w:rPr>
                <w:rtl w:val="0"/>
              </w:rPr>
              <w:t xml:space="preserve">Nr. 651/2014</w:t>
            </w:r>
            <w:r w:rsidR="00000000" w:rsidRPr="00000000" w:rsidDel="00000000">
              <w:rPr>
                <w:rtl w:val="0"/>
              </w:rPr>
              <w:t xml:space="preserve"> </w:t>
            </w:r>
            <w:r w:rsidR="00000000" w:rsidRPr="00000000" w:rsidDel="00000000">
              <w:rPr>
                <w:rtl w:val="0"/>
              </w:rPr>
              <w:t xml:space="preserve"> I pielikuma 3.panta 3.punktam.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Atbalsts netiek sniegts finansējuma saņēmējam un sadarbības partnerim (ja attiecināms), uz kuru attiecas neizpildīts līdzekļu atgūšanas rīkojums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651/2014 1. panta 4. punkta nosacījumi ir jāvērtē/jāpiemēro uzņēmuma grupas līmenī, jo Komisijas regulas Nr. 651/2014 angliskajā versijā nosacījumi, kas ir attiecināmi uz “undertaking”, ir jāpārbauda/jāpiemēro uzņēmuma grupas līmenī. Ņemot vērā iepriekš minēto, lūdzam precizēt noteikumu projekta 50. punktu tā, lai nodrošinātu, ka finansējuma saņēmējs un sadarbības partneris (ja attiecināms) tiek vērtēts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Atbalsts netiek sniegts finansējuma saņēmējam un sadarbības partnerim (ja attiecināms), uz kuru attiecas neizpildīts līdzekļu atgūšanas rīkojums saskaņā ar iepriekšēju Eiropas Komisijas lēmumu, ar ko atbalsts tiek atzīts par nelikumīgu un nesaderīgu ar kopējo tirgu. Atbilstību šī punkta nosacījumiem vērtē saistīto uzņēmumu līmenī, ko nosaka atbilstoši regulas </w:t>
            </w:r>
            <w:r w:rsidR="00000000" w:rsidRPr="00000000" w:rsidDel="00000000">
              <w:rPr>
                <w:rtl w:val="0"/>
              </w:rPr>
              <w:t xml:space="preserve">Nr. 651/2014</w:t>
            </w:r>
            <w:r w:rsidR="00000000" w:rsidRPr="00000000" w:rsidDel="00000000">
              <w:rPr>
                <w:rtl w:val="0"/>
              </w:rPr>
              <w:t xml:space="preserve"> </w:t>
            </w:r>
            <w:r w:rsidR="00000000" w:rsidRPr="00000000" w:rsidDel="00000000">
              <w:rPr>
                <w:rtl w:val="0"/>
              </w:rPr>
              <w:t xml:space="preserve"> I pielikuma 3.panta 3.punktā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 un 2024. gadā ES Padome izteica rekomendācijas saistībā ar digitālā savienojamība atbalstu, lūdzam ietvert atsauci uz konkrēto rekomendāciju un norādīt, kā plānotās darbības pasākuma ietvaros ir vērstas uz rekomendācijas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punkts papildināts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ieviešana veicinās Padomes ieteikuma (24.4.2023. COM (2023) 614 final) par Latvijas 2023. gada valsts reformu programmu un ar ko sniedz Padomes atzinumu par Latvijas stabilitātes programmu, rekomendāciju izpildi attiecībā uz valsts finansēto valsts investīciju saglabāšanu un ES fondu efektīvu apguvi, jo īpaši, lai veicinātu zaļo un digitālo pārkārtošanos, tostarp ieteikuma 21.apsvērumā minēto platjoslas infrastruktūras izvēršanu.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2.4.1.2.i. investīcijas ietvaros projektu iesniegšana notika līdz 2024. gada 30. jūnijam, un projekta rādītāji ir jāsasniedz līdz 2026. gada 30. jūnijam, kas var pārklāties ar 1.4.1.1. pasākumā veicamajām darbībām, kā arī lai novērstu demarkācijas riskus, aicinām papildināt anotāciju, norādot, ka objekti tiks vērtēti adrešu līmenī, ņemot vērā valsts atbalsta nosacījumus un salīdzinot tos ar iesniegtajiem projektiem, neatkarīgi no finansējuma avota, apstiprinot gan projektus, gan maksājuma pieprasījumus.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informācija par demarkāciju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objekti tiks vērtēti adrešu līmenī, ņemot vērā valsts atbalsta nosacījumus un salīdzinot tos ar iesniegtajiem projektiem, neatkarīgi no finansējuma avota, apstiprinot gan projektus, gan maksājuma pieprasījumus.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nosaka kopējo sasniedzamo iznākuma rādītāju: 1565 papildu mājokļi un 521 papildu uzņēmums ar piekļuvi ļoti augstas veiktspējas platjoslas tīklam. No tiem projekta pirmajā kārtā jānodrošina 1120 papildu mājokļi un 375 uzņēmumi. Savukārt anotācijā (risinājuma apraksts) minēts vienots sasniedzamais rādītājs — 2086 galalietotāji. Lai nodrošinātu, ka finansējuma saņēmējiem ir skaidri atlases īstenošanas nosacījumi, aicinām anotācijā norādīt atlases kārtām atbilstošus sasniedzamos rādītājus, paredzot sasniedzamos rezultātus atlases pirmajā kārtā un kopējā rādītāja sasniegšanu projekta otrās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pirmajā atlases kārtā apstiprinātajos projektos paredzēts nodrošināt VHCN pieslēgumu 1495 galalietotājiem, bet otrajā kārtā – vismaz 591 galalietotājam, lai sasniegtu kopējo plānoto galalietotāju pieslēgumu skaitu 2086.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tiks izmantota Eiropas Savienības stratēģiskajos dokumentos noteiktajiem mērķiem atbilstošu  elektronisko sakaru pakalpojumu pieejamības palielināšanai.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521 uzņēmumam lauku teritorijās tiks nodrošināta iespēja izmantot ātrgaitas interneta pakalpojumu ar augšupielādes ātrumu vismaz 300 Mb/s.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ieguvumi (t.sk. sagaidāmo atdevi no investīcijām un ietekmi uz tautsaimniecību): veicina Eiropas Parlamenta un Padomes 2022. gada 14. decembra lēmumā (ES), ar ko izveido politikas programmu “Digitālās desmitgades ceļš” 2030. gadam  (turpmāk - ES lēmums “Digitālā desmitgade 2030”), noteikto mērķu sasniegšanu, kuru izpildes progress Eiropas Komisijas līmenī tiks pārraudzīts: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Gigabitiska savienojamība, ko mēra kā to mājsaimniecību procentu, kurām ir VHCN pārklājums. ES lēmumā “Digitālā desmitgade 2030” ES paredz 100% gigabitisku savienojamību līdz 2030. gadam. Latvijā 2023. gadā  sasniegti 71,4 % un 2030. gadā tiek prognozēti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- 5G pārklājums, ko mēra kā to apdzīvoto teritoriju procentu, kurām ir vismaz viena 5G tīkla pārklājums neatkarīgi no izmantotās frekvenču spektra joslas. Uz šo brīdi Latvijā 5G pārklājuma vērtības palielinājums (provizoriski) katru gadu, sākot ar 2024. gadu plānots 2,4 % apmērā. ES lēmumā “Digitālā desmitgade 2030” ES paredz 100% 5G pārklājumu līdz 2030. gadam. Latvijā 2023. gadā  sasniegti 53,1% un 2030. gadā tiek prognozēti 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Satiksmes ministrijas komentāriem par 20.11.2024. LIKTA sniegto viedokli un jautājumiem par izstrādāto noteikumu projektu “Eiropas Savienības kohēzijas politikas programmas 2021.–2027. gadam 1.4.1. specifiskā atbalsta mērķa “Uzlabot digitālo savienojamību” 1.4.1.1. pasākuma “Platjoslas infrastruktūras attīstība (pēdējā jūdze)” īstenošanas noteikumi” (turpmāk tekstā – Noteikumu projekts) un zemāk sniedzam sekojošus komentārus un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savos komentāros norāda, ka ir ņēmusi vērā LIKTA viedokli un komentārus. Aicinām atkārtoti pārskatīt sūtīto viedokli, jo mūsuprāt, atsevišķi jautājumi nav ņemti vērā vai arī uz tiem nav sniegtas atbildes.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īpaši norādām, ka iebilstam pret 15. un 16. punktos ietvertajiem nosacījumiem par sagaidāmajiem rezultātiem, aicinām svītrot mājsaimniecību un uzņēmumu  skaitu, kas abonē pieslēgumu, jo to komersants, kas nodrošina pēdējās jūdzes izbūvi un piekļuvi tai, nevar apņemties, ka pakalpojumi tiks abonēti noteiktajā skaitā. Aicinām sasniedzamajos rādītājos noteikt tikai kopējo skaitu mājsaimniecībām un uzņēmumiem, kuriem ir nodrošināta piekļuve ļoti augstas veiktspējas tīklam, nenorādot, vai tā ir mājsaimniecība vai uzņēmums. Mājsaimniecības un uzņēmumi parasti bieži atrodas dažādās teritorijās un sadalot atsevišķi mājsaimniecību un uzņēmumu skaitu rodas pienākums būvēt tīklu speciāli mājsaimniecībām un speciāli uzņēmumiem, ja tādi vispār tur atrodas un ja šiem uzņēmumiem jau nav pieejams ļoti augstas veiktspējas tīkls, ņemot vērā, ka uzņēmumu koncentrācijas vietās (iepirkšanās centri, biznesa centri, utml), kurās ir uzņēmumu koncentrācija, ļoti augstas veiktspējas tīkls jau ir izbūvēts.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vai būtiski precizēt Noteikumu projekta 31. punktu, kurā norādīts, ka  finansējuma saņēmēja izmaksu attiecināšanai nepieciešami būvsertifikāti attiecīgajiem speciālistiem. Pamatojums – šādā projektā ir daudz  aktivitātes, kurās nav nepieciešami būvsertifikāti – projekta vadība, plānošana, aktīvo iekārtu projektēšana, instalācija, tīkla testēšana,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30.punktu, ietverot 37.4 punktā minētās aktivitātīšu izmaksas (komunikācijas un vizuālās identitātes pasākumi), kā izmaksas kuras arī tiek attiecinātas uz projektu. Pamatojums – šī ir obligātas darbības projekta realizācijas ietvaros un attiecīgi to izmaksas jāattiecina uz projektu. Kopējais šādu izmaksu ierobežojums noteikts 34. punktā, kas arī attiecīgi jāpapildina ar komunikācijas un vizuālās identitātes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detalizētāks skaidrojums par norādītajiem komentāriem, aicinām Satiksmes ministriju organizēt par to atsevišķu sanāksmi.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tostarp skaidrojot jautājumus sanāksmē, kā arī attiecīgi papildināta informācija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punkta nosacījumi pašu veikto darbu izmaksu attiecināšanai ir precizēti, konkrēti nosakot nosacījumus pašu spēkiem veikto darbu izmaksu attiecināšanai finansējuma saņēmējam vai sadarbības partnerim, tostarp prasības personāla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29.punktā noteikto atbalstāmo darbību un to, ka pasākumā plānots komercdarbības atbalsts saskaņā ar regulas 651/2014 52.pantu, ir attiecināmas tikai 52.panta 2.punktā minētās fiksētā platjoslas tīkla izbūves izmaksas. Attiecīgi pasākuma ietvaros nav attiecināmas komunikācijas un projekta iesnieguma sagatavošanas un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skaidrojam, ka 15. un 16. punktā ietverti ES kohēzijas politikas programmā 2021.–2027.gadam 1.4.1.1.pasākumam noteiktie rādītāji, kas ir regulas 2021/1058 I pielikumā noteiktie ERAF kopīgie rādītāji. Rādītāji noteikti, ņemot vērā mērķi, kas ir ļoti augstas veiktspējas elektronisko sakaru tīklu infrastruktūras izveide elektronisko sakaru pakalpojumu pieejamības nodrošināšanai galalietotājiem. Programma, tostarp tajā iekļautie pasākumi un rādītāji, vairākkārt skatīti un saskaņoti ES fondu Uzraudzības komitejā, kurā piedalās arī LIKTA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rādītāju sasniedzamību uzsveram, ka tās noteiktas pētījuma “Pētījums Eiropas Savienības fondu 2021. -2027. gada plānošanas perioda ieguldījumu priekšnosacījumu izpildei” ietvaros. Papildus, rādītāju vērtības ir aktualizētas  atbilstoši būvniecības cenu indeksa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investīciju ilgtspējas nosacījumus, konkursa kārtībā izvēlētajiem finansējuma saņēmējiem ir jāplāno tīkla būvniecība ar mērķi sniegt elektronisko sakaru pakalpojumus galalietotājiem, kā arī ir jādod vairumtirdzniecības piekļuve citiem komersantiem, kas šādus pakalpojumus vēlas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īstenojot pasākumu, piemērot sociāli atbildīga publiskā iepirkumu un inovatīvu publiskā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sagatavotā informācija par Sociāli atbildīgu publisko iepirkumu pieejama šeit: https://www.iub.gov.lv/lv/socialais-iepirkums. Vienlaikus aicinām izmantot Vadlīnijas sociāli atbildīga publiskā iepirkuma īstenošanai; pieejamas: https://www.iub.gov.lv/lv/media/658/download; Ārvalstu prakses apkopojums; pieejams: https://www.iub.gov.lv/lv/media/877/download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sagatavotā informācija par Inovatīvo publisko iepirkumu pieejama šeit: https://www.iub.gov.lv/lv/inovativais-iepirkums?utm_source=https%3A%2F%2Fwww.google.com%2F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sniegto informāciju un attiecināmo izmaksu pozīcijas, skaidrojam, ka pasākuma ietvaros nav konstatējama tieša saikne ar sociāli atbildīgu publisko iepirkumu un inovatīvu publiskā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KPMG Baltics SIA un Oxford Research Baltics SIA, 2022. gadā veikto izvērtējumu (https://www.esfondi.lv/izvertejumi-1), pasākumam ir iespējams piemērot vienkāršotās izmaksas. Tādējādi lūdzam izvērtēt iespēju, īstenojot 1.4.1.1. pasākumu, piemērot vienkāršoto izmaksu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KPMG Baltics SIA un Oxford Research Baltics SIA, 2022. gadā veikto pētījumu “Vienkāršoto izmaksu piemērošanas iespējas 2021.-2027. gada ES fondu plānošanas periodā” redzams, ka 1.4.1.1.pasākuma vienkāršoto izmaksu piemērošana vērtēta daudzpakāpju projektam, kurā plānošanas reģions finansējuma saņēmējam piešķir finansējumu zem 200 000 euro. Ņemot vērā minēto, pētījumā veiktais 1.4.1.1. pasākuma izvērtējums un secinājums nav tieši piemērojams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Satiksmes ministrijas izstrādāto noteikumu projektu “Eiropas Savienības kohēzijas politikas programmas 2021.–2027. gadam 1.4.1. specifiskā atbalsta mērķa “Uzlabot digitālo savienojamību” 1.4.1.1. pasākuma “Platjoslas infrastruktūras attīstība (pēdējā jūdze)” īstenošanas noteikumi” (turpmāk tekstā – Noteikumu projekts) un zemāk sniedzam sekojošus komentārus un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vai projektu plānots realizēt vairākās kārtās un kāds ir katrai kārtai paredzētais projekta pieteikuma iesniegšanas, līguma noslēgšanas termiņš un finansējuma apmērs, kā arī sasniedzamie rādītāji? Noteikumu projektā ir minēti pirmās kārtas nosacījumi, bet netiek noteikti otrās kārtas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kas ir Noteikumu projekta 11.punktā minētais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vai pareizi saprotam, ka Noteikumu projekta 15. punkts paredz kopējos visa 11.punktā paredzētā finansējuma sasniedzamos rādītājus? Turpretī, 16.punkts paredz sasniegt lielāko daļu no 15.punktā sasniedzamajiem rādītājiem pirmajā kārtā un pirmajai kārtai finansējums ir noteikts 13.punktā?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precizēt, vai 21.punktā noteiktajām tiesībām piesaistīt “Sadarbības partneri” ir kādas noteiktas prasības un/vai ierobežojumi? Vai Sadarbības partneris var būt ar projekta iesniedzēju saistīts vai grupas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pareizi saprotam no 31.punktā minētā, ka sadarbības partneris nevar tikt piesaistīts kā apakšuzņēmējs?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skaidrot, vai pareizi saprotam 31.1.punktā noteikto, ka </w:t>
            </w:r>
            <w:r w:rsidR="00000000" w:rsidRPr="00000000" w:rsidDel="00000000">
              <w:rPr>
                <w:b w:val="1"/>
                <w:rtl w:val="0"/>
              </w:rPr>
              <w:t xml:space="preserve">vienam no</w:t>
            </w:r>
            <w:r w:rsidR="00000000" w:rsidRPr="00000000" w:rsidDel="00000000">
              <w:rPr>
                <w:rtl w:val="0"/>
              </w:rPr>
              <w:t xml:space="preserve"> “finansējuma saņēmējam” vai “sadarbības partnerim” jābūt reģistrētam kā būvkomersantam?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detalizētāk un pēc būtības skaidrot 31.3. punktu, kas paredz, ka</w:t>
            </w:r>
            <w:r w:rsidR="00000000" w:rsidRPr="00000000" w:rsidDel="00000000">
              <w:rPr>
                <w:i w:val="1"/>
                <w:rtl w:val="0"/>
              </w:rPr>
              <w:t xml:space="preserve"> “darbu veikšanai netiek piesaistīti apakšuzņēmēji, papildus neizslēdzot iepirkumu veikšanu visu pārējo darbu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projekta 15.un 16.punktā norādīti sasniedzamie rādītāji - jābūt gan izbūvētām adresēm ar piekļuvi platjoslas tīklam, gan noteiktam skaitam abonentiem. Lūdzam skaidrot vai 15.3. un 15.4 punktā norādītie abonenti ir daļa no 15.1. un 15.2.punktā norādītajiem mājokļiem un uzņēmumiem, kam nodrošināta piekļuve vai arī tie skaitāmi atsevišķi? Līdzīgi arī par 16.punktā norādīto - vai 16.3. un 16.4 punktā norādītie abonenti ir daļa no 16.1. un 16.2.punktā norādītajiem mājokļiem un uzņēmumiem, kam nodrošināta piekļuve vai arī tie skaitāmi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šim atbalsta pasākumi ir bijuši vai nu par piekļuvi platjoslas tīklam (izbūvēto adrešu skaitu) vai par pieslēgtajiem abonentiem , nevis kombinējot abus nosacījumus  (informatīvi norādām - lai izbūvētu adrešu skaitu ar piekļuvi platjoslas tīklam, tīkla izbūve notiek bez iepriekšējas pakalpojuma līguma slēgšanas. Ja atbalsta finansējums ir par pieslēgto abonentu skaitu, tad tiek slēgts pakalpojuma līgums un tikai tad izbūvēts platjoslas tīkla pieslēgums, attiecīgi tīkls netiek būvēts tur kur nav  pakalpojums). </w:t>
            </w:r>
            <w:r w:rsidR="00000000" w:rsidRPr="00000000" w:rsidDel="00000000">
              <w:rPr>
                <w:b w:val="1"/>
                <w:rtl w:val="0"/>
              </w:rPr>
              <w:t xml:space="preserve">Lai sasniegtu mērķa rādītājus un komersantiem būtu interese projektam pieteikties, aicinām svītrot 15.3., 15.4., 16.3. un 16.4. norādīto pienākumu sasniegt noteiktu abonentu skaitu,</w:t>
            </w:r>
            <w:r w:rsidR="00000000" w:rsidRPr="00000000" w:rsidDel="00000000">
              <w:rPr>
                <w:rtl w:val="0"/>
              </w:rPr>
              <w:t xml:space="preserve"> jo ja komersanta līdzfinansējums ir 15 %, komersants būs ieinteresēts noslēgt abonēšanas līgumus, nevis tikai izbūvēt tīklu, bet uzsākot tīkla būvniecību  garantēt abonentu skaitu ir augsts risks (to var ietekmēt ārēji apstākļi), kas būtiski var mazināt komersantu interesi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Mūsuprāt, pēc pašreizējā redakcijā 31.punktā noteiktais ir pretrunā ar 30.punktā , noteikto.  Pēc pašreizējās 31. punkta redakcijas uz projektu iespējams attiecināt finansējuma saņēmēja vai sadarbības partnera sertificēto projektēšanas un būvniecības darbinieku izmaksas. Turpretī  30. punkts paredz atbalstu , daudzām citām aktivitātēm, kuras nav būvniecība un  kurām nav nepieciešami 31. punktā minētos sertifikāti (piemēram, materiālu iegādes izmaksas, tīkla aktīvās infrastruktūras (piemēram, maršrutētāju un komutatoru, radio bāzes staciju, vadības un pārvaldības serveru) materiālu iegādes un ierīkošanas izmaksas, ļoti augstas veiktspējas tīkla projektēšanas izmaksas (ja runa iet par aktīvajām iekārtām), ļoti augstas veiktspējas tīkla testēšanas un mērījumu veikšanas izmaksas, ļoti augstas veiktspējas tīkla darbības un piekļuves kontroles iekārtu iegādes un uzstādīšanas izmaksas.) Tādēļ, aicinām skaidrot, precizēt vai svītrot Noteikumu projekta 31.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nosacījumus, pie kuriem ir iespējams ļoti augstas veiktspējas tīklu infrastruktūras būvniecībai un ierīkošanai (izņemot materiālu un iekārtu iegādi un būvdarbu uzraudzību) nepieciešamos darbus veikt un šo darbu veikšanas izmaksas attiecināt finansējuma saņēmējam vai sadarbības partnerim, kurš ir elektronisko sakaru komersants, un kopā ar finansējuma saņēmēju nodrošina projektā paredzēto mērķu sasniegšanu, veicot daļu no darbiem. Partneris nevar būt finansējuma saņēmēja apakšuzņēmējs.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Pašu veikto darbu ietvaros ir attiecināmas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Finansējuma saņēmēja vai sadarbības partnera sertificētā projektēšanas personāla izmaksas. Šajās izmaksās neietilpst darbavietas aprīkošanas izmaksas, ar projektēšanu saistītā transporta izmaksas un licenču izmaksas un citas ar šiem darbiem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Finansējuma saņēmēja vai sadarbības partnera sertificētā būvdarbu personāla izmaksas un pašu rīcībā esošo būvdarbiem nepieciešamo mehānismu izmaksas. Šajās izmaksās neietilpst citas ar būvdarbiem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tīkla būvniecībai nepieciešamie materiāli un iekārtas, kā arī būvuzraudzība ir iegādājami, izmantojot iepirkuma procedūru. Ar iekārtām saprot tikai noteikumu projekta 30.10. punktā minētās iekārtas. Būvniecības procesā izmantojamo mehānismu (piemēram, rakšanas, urbšanas u.c.) iegādes izmaksas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pārējiem jautājumiem skaidrojam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projektu atlases kārtas plānotais finansējums norādīts noteikumu projekta  12.punktā, sasniedzamie rādītāji 16. un 17. punktā. Otrās atlases kārtas nosacījumi ir noteikti 18.punktā. Norādām, ka projektu atlases kritēriji abām atlases kārtām ir apstiprināti ES fondu uzraudzības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Elastības finansējums ir noteikts saskaņā ar Eiropas Parlamenta un Padomes regulu 2021/1060 (kopīgo noteikumu regula) 86. pantu, kurā teikts, programmām saskaņā ar mērķi “Investīcijas nodarbinātībai un izaugsmei” attiecībā uz katru programmu katrā dalībvalstī saglabā summu, kas atbilst 50 % no 2026. un 2027. gadam paredzētā ieguldījuma (“elastīguma summa”), un to galīgi piešķir programmai tikai pēc Komisijas lēmuma, kas pieņemts pēc tam, kad saskaņā ar 18. pantu veikts vidusposma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Skaidrojam, ka pirmajai atlases kārtai plānotais finansējums ir noteikts noteikumu 12.punktā, savukārt 13.punktā noteikts tā sadalījums pa plānošanas reģioniem. Noteikumu projekta 16.punktā noteikti atlases pirmajā kārtā sasniedzamie rādītāji un 17.punktā noteikts rādītāju sadalījums pa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partnerim izvirzītie nosacījumi ir noteikti noteikumu projekta 23.punktā. Atbilstība komercdarbības atbalsta nosacījumiem gan finansējuma saņēmējam, gan sadarbības partnerim tiek vērtēta uzņēmumu grupas līmenī atbilstoši regulas 651/2014 I pielikuma 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Skaidrojam, ka noteikumu projektā noteiktais rādītājs attiecībā uz sasniedzamo abonentu skaitu ir kopīgais rādītājs, kas noteikts Eiropas Parlamenta un Padomes regulas   2021/1058 (2021. gada 24. jūnijs) par Eiropas Reģionālās attīstības fondu un Kohēzijas fondu I pielikumā un attiecīgi Eiropas Savienības kohēzijas politikas programmā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fondu mājas lapā publicēto rādītāju aprakstu noteikumu projekta 15.1. un 15.2. punktā noteikto rādītāju  faktiskajā izpildē tiks iekļauti gan uzņēmumi un mājsaimniecības, kam ir līgums ar elektronisko sakaru uzņēmumu par pakalpojumu ar piekļuves ātrumu vismaz 100 Mbit/s (ļoti augstas veiktspējas platjoslas tīkls (VHC)) abonēšanu, gan arī uzņēmumi un mājsaimniecības, kam ir piekļuve šādam pakalpojumam, proti, iespēja noslēgt līgumu ar elektronisko sakaru uzņēmumu un uzsākt pakalpojuma saņemšanu indikatīvi mēneša laikā no pakalpojuma pieteikuma. https://www.esfondi.lv/profesionaliem/planosana/planosanas-dokumenti/2021-2027-gada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Termini "vairumtirdzniecības līmeņa piekļuve" un "maksimumstundas apstākļi" šajos noteikumos lietoti </w:t>
            </w:r>
            <w:r w:rsidR="00000000" w:rsidRPr="00000000" w:rsidDel="00000000">
              <w:rPr>
                <w:rtl w:val="0"/>
              </w:rPr>
              <w:t xml:space="preserve">Eiropas Komisijas 2014. gada 17. jūnija Regulas (ES) Nr. 651/2014, ar ko noteiktas atbalsta kategorijas atzīst par saderīgām ar iekšējo tirgu, piemērojot Līguma 107. un 108. pantu</w:t>
            </w:r>
            <w:r w:rsidR="00000000" w:rsidRPr="00000000" w:rsidDel="00000000">
              <w:rPr>
                <w:rtl w:val="0"/>
              </w:rPr>
              <w:t xml:space="preserve"> (turpmāk – regula Nr. 651/2014),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punktu, norādot konkrētos Komisijas regulas Nr. 651/2014 pantus un punktus, kuros iekļautas šajā punktā minētās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Termini "vairumtirdzniecības līmeņa piekļuve" un "maksimumstundas apstākļi" šajos noteikumos lietoti </w:t>
            </w:r>
            <w:r w:rsidR="00000000" w:rsidRPr="00000000" w:rsidDel="00000000">
              <w:rPr>
                <w:rtl w:val="0"/>
              </w:rPr>
              <w:t xml:space="preserve">Eiropas Komisijas 2014. gada 17. jūnija Regulas (ES) Nr. 651/2014, ar ko noteiktas atbalsta kategorijas atzīst par saderīgām ar iekšējo tirgu, piemērojot Līguma 107. un 108. pantu</w:t>
            </w:r>
            <w:r w:rsidR="00000000" w:rsidRPr="00000000" w:rsidDel="00000000">
              <w:rPr>
                <w:rtl w:val="0"/>
              </w:rPr>
              <w:t xml:space="preserve"> (turpmāk – regula Nr. 651/2014), 2.panta 139. un 139. e punkta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vienlīdzīgu un kvalitatīvu elektronisko sakaru pakalpojumu pieejamību galalietotājiem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attiecas tikai uz vienu no elektronisko sakaru pakalpojumu veidiem – interneta piekļuves pakalpojumu, Regulators aicina precizēt gan noteikumu projektu (tai skaitā 3.punktu), gan tā anotāciju un, kur tas nepieciešams, terminu “elektronisko sakaru pakalpojums” aizstāt ar terminu “interneta piekļuves pakalpojums”.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“elektronisko sakaru pakalpojums” aizstāt ar terminu “interneta piekļuves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 un 29.punktā minētais apzīmējumu “elektronisko sakaru pakalpojums” iekļauts, lai nodrošinātu nepārprotamu atbilstību ES kohēzijas programmas 2021.-2027.gadam 132.paragrāfā noteiktajai 1.4.1.1. pasākuma ietvaros atbalstāmajai darbībai (skat. izziņas 29.punktu). Minētais pēc būtības nav pretrunā ar SPRK priekšlikumu, jo interneta pakalpojums, ko iespējoļoti augstas veiktspējas tīkls,  ir viens no elektronisko sakaru pakalpojumu veidiem. Savukārt attiecībā uz rādītāju sasniegšanas pamatojošo dokumentāciju noteikumu projekta 19.3. apakšpunktā lietots termins “interneta piekļuves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ļoti augstas veiktspējas elektronisko sakaru tīklu infrastruktūras izveide elektronisko sakaru pakalpojumu pieejamības nodrošināšanai galalietotājiem Latvijas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vienlīdzīgu un kvalitatīvu elektronisko sakaru pakalpojumu pieejamību galalietotājiem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Satiksmes ministriju (turpmāk – SM) pārskatīt pasākuma mērķi, to formulējot ne tik vispārīgu, bet atbilstoši pasākuma ietvaros plānotajam atbalsta fokusam. Vēršam uzmanību, ka Eiropas Savienības kohēzijas politikas programmas 2021.-2027. gadam 132. paragrāfs paredz ļoti augstas veiktspējas elektronisko sakaru tīklu infrastruktūras izveidi elektronisko sakaru pakalpojumu pieejamības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ļoti augstas veiktspējas elektronisko sakaru pakalpojumu pieejamību galalietotājiem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ļoti augstas veiktspējas elektronisko sakaru tīklu infrastruktūras izveide elektronisko sakaru pakalpojumu pieejamības nodrošināšanai galalietotājiem Latvijas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vienlīdzīgu un kvalitatīvu elektronisko sakaru pakalpojumu pieejamību galalietotājiem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SM pasākuma mērķi formulēt ne tik vispārīgu, bet atbilstoši pasākuma ietvaros plānotajam atbalstam, piemēram, nodrošinot mūsdienīgam prasībām atbilstošu, ļoti augstas veiktspējas elektronisko sakaru pieejamību galalietotājiem.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mērķis ir noteikts, saskaņā ar Eiropas Savienības kohēzijas politikas programmas 2021.–2027.gadam 1.tabulā “Politikas mērķi un specifiskie atbalsta mērķi” par 1.4.1.SAM sniegto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ļoti augstas veiktspējas elektronisko sakaru tīklu infrastruktūras izveide elektronisko sakaru pakalpojumu pieejamības nodrošināšanai galalietotājiem Latvijas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vienlīdzīgu un kvalitatīvu elektronisko sakaru pakalpojumu pieejamību galalietotājiem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attiecas tikai uz vienu no elektronisko sakaru pakalpojumu veidiem – interneta piekļuves pakalpojumu, Regulators aicina precizēt gan noteikumu projektu (tai skaitā 3.punktu), gan tā anotāciju un, kur tas nepieciešams, terminu “elektronisko sakaru pakalpojums” aizstāt ar terminu “interneta piekļuves pakalpojums”.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19.3. apakšpunkts, kas attiecas uz interneta pakalpojuma abonēšanas rādītāju ziņošanu, kā arī anotācijas informācija. Skaidrojam, ka pasākuma rezultātā izbūvētajai infrastruktūrai ir noteiktas  veiktspējas prasības, neierobežojot pakalpojumu klāstu. Pasākuma ietvaros ieviestajai infrastruktūrai ir jānodrošina iespēja galalietotājam saņemt interneta piekļuves pakalpojumu ar lejuplādes ātrumu 300 Mbit/s. Tas neierobežo elektronisko sakaru komersantu piedāvāt interneta pakalpojumus ar zemāku vai augstāk lejupielādes ātrumu, kā arī cita veida pakalpojumus (piemēram, televīziju).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ļoti augstas veiktspējas elektronisko sakaru tīklu infrastruktūras izveide elektronisko sakaru pakalpojumu pieejamības nodrošināšanai galalietotājiem Latvijas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visi īstenotie projekti ir stratēģiskas nozīmes projekti saskaņā ar Eiropas Savienības kohēzijas politikas programmu 2021.–2027. gadam un normatīvajiem aktiem par Eiropas Savienības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viennozīmīgu interpretāciju, atkārtoti lūdzam konkretizēt noteikumu projekta 8. punktā minēto normatīvo aktu jomu, ņemot vērā, ka esošā norāde "normatīvajiem aktiem par Eiropas Savienības fondu ieviešanu 2021.-2027. gada plānošanas periodā" ir vispārīga, vai svītrot attiecīgo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visi īstenotie projekti ir stratēģiskas nozīmes projekti saskaņā ar Eiropas Savienības kohēzijas politikas programmu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visi īstenotie projekti ir stratēģiskas nozīmes projekti saskaņā ar Eiropas Savienības kohēzijas politikas programmu 2021.–2027.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visi īstenotie projekti ir stratēģiskas nozīmes projekti saskaņā ar Eiropas Savienības kohēzijas politikas programmu 2021.–2027. gadam un tiesību aktiem par Eiropas Savienības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viennozīmīgu interpretāciju, lūdzam konkretizēt noteikumu projekta 8. punktā minēto tiesību aktu jomu, ņemot vērā, ka esošā norāde "tiesību aktiem par Eiropas Savienības fondu ieviešanu 2021.-2027. gada plānošanas periodā" ir vispārīga.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visi īstenotie projekti ir stratēģiskas nozīmes projekti saskaņā ar Eiropas Savienības kohēzijas politikas programmu 2021.–2027.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nodrošina kartografēšanu un sabiedrisko apspriešanu, lūdzot elektronisko sakaru komersantiem iesniegt pamatotu informāciju par to tīkliem, kuri atrodas vai kurus ticami plānots ierīkot mērķa teritorijā projekta īstenošanas laikā, un darot to publiski pieejamu reģionālā un Satiksmes ministrijas tīmekļvietnē atbilstoši regulas </w:t>
            </w:r>
            <w:r w:rsidR="00000000" w:rsidRPr="00000000" w:rsidDel="00000000">
              <w:rPr>
                <w:rtl w:val="0"/>
              </w:rPr>
              <w:t xml:space="preserve">Nr. 651/2014</w:t>
            </w:r>
            <w:r w:rsidR="00000000" w:rsidRPr="00000000" w:rsidDel="00000000">
              <w:rPr>
                <w:rtl w:val="0"/>
              </w:rPr>
              <w:t xml:space="preserve"> 52. panta 5.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10.1. apakšpunktā, 37.4.2. un 37.4.3. punktā ietverto norādi uz Satiksmes ministriju, ņemot vērā, ka noteikumu projekta 9. punktā atrunāts saīsinājums "atbildīgā iestāde" un 10. punkta ievaddaļā atrunāts saīsinājums "nozares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37.4.2. iesniedz stratēģiski svarīga projekta komunikācijas plānu informācijai atbildīgajai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37.4.3. visās stratēģiski svarīga projekta komunikācijas aktivitātēs nodrošina sadarbību ar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10.1.punktā atsauce uz Satiksmes ministrijas kopējo tīmekļa vietni saglabāta.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nodrošina kartografēšanu un sabiedrisko apspriešanu, lūdzot elektronisko sakaru komersantiem iesniegt pamatotu informāciju par to tīkliem, kuri atrodas vai kurus ticami plānots ierīkot mērķa teritorijā projekta īstenošanas laikā, un darot to publiski pieejamu reģionālā un Satiksmes ministrijas tīmekļvietnē atbilstoši regulas </w:t>
            </w:r>
            <w:r w:rsidR="00000000" w:rsidRPr="00000000" w:rsidDel="00000000">
              <w:rPr>
                <w:rtl w:val="0"/>
              </w:rPr>
              <w:t xml:space="preserve">Nr. 651/2014</w:t>
            </w:r>
            <w:r w:rsidR="00000000" w:rsidRPr="00000000" w:rsidDel="00000000">
              <w:rPr>
                <w:rtl w:val="0"/>
              </w:rPr>
              <w:t xml:space="preserve"> 52. panta 5.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plānotais kopējais attiecināmais finansējums ir 8 700 001 </w:t>
            </w:r>
            <w:r w:rsidR="00000000" w:rsidRPr="00000000" w:rsidDel="00000000">
              <w:rPr>
                <w:i w:val="1"/>
                <w:rtl w:val="0"/>
              </w:rPr>
              <w:t xml:space="preserve">euro</w:t>
            </w:r>
            <w:r w:rsidR="00000000" w:rsidRPr="00000000" w:rsidDel="00000000">
              <w:rPr>
                <w:rtl w:val="0"/>
              </w:rPr>
              <w:t xml:space="preserve"> (tai skaitā elastības finansējuma apjoms 1 372 211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w:t>
            </w:r>
            <w:r w:rsidR="00000000" w:rsidRPr="00000000" w:rsidDel="00000000">
              <w:rPr>
                <w:rtl w:val="0"/>
              </w:rPr>
              <w:t xml:space="preserve"> (tai skaitā elastības finansējuma apjoms 1 166 379 </w:t>
            </w:r>
            <w:r w:rsidR="00000000" w:rsidRPr="00000000" w:rsidDel="00000000">
              <w:rPr>
                <w:i w:val="1"/>
                <w:rtl w:val="0"/>
              </w:rPr>
              <w:t xml:space="preserve">euro</w:t>
            </w:r>
            <w:r w:rsidR="00000000" w:rsidRPr="00000000" w:rsidDel="00000000">
              <w:rPr>
                <w:rtl w:val="0"/>
              </w:rPr>
              <w:t xml:space="preserve">) un privātais finansējums – ne mazāks par 1 305 001 </w:t>
            </w:r>
            <w:r w:rsidR="00000000" w:rsidRPr="00000000" w:rsidDel="00000000">
              <w:rPr>
                <w:i w:val="1"/>
                <w:rtl w:val="0"/>
              </w:rPr>
              <w:t xml:space="preserve">euro</w:t>
            </w:r>
            <w:r w:rsidR="00000000" w:rsidRPr="00000000" w:rsidDel="00000000">
              <w:rPr>
                <w:rtl w:val="0"/>
              </w:rPr>
              <w:t xml:space="preserve"> (tai skaitā elastības finansējuma apjoms 205 832 </w:t>
            </w:r>
            <w:r w:rsidR="00000000" w:rsidRPr="00000000" w:rsidDel="00000000">
              <w:rPr>
                <w:i w:val="1"/>
                <w:rtl w:val="0"/>
              </w:rPr>
              <w:t xml:space="preserve">euro</w:t>
            </w:r>
            <w:r w:rsidR="00000000" w:rsidRPr="00000000" w:rsidDel="00000000">
              <w:rPr>
                <w:rtl w:val="0"/>
              </w:rPr>
              <w:t xml:space="preserve">). Maksimālā Eiropas Reģionālās attīstības fonda finansējuma intensitāte ir 85 % no projektam plānotā kopējā attiecināmā finansējuma, un privātais līdzfinansējums nav mazāks par 15 % no projektam plānotā kopējā attiecināmā finansējuma. Potenciālo neto ienākumu no projekta aprēķina saskaņā ar projekta diskontēto neto ienākumu aprēķināšanas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pasākuma projektu atlasē tiek piemērots Eiropas Komisijas regulas Nr. 651/2014 52. panta 7. punkta a) apakšpunkts, kas paredz saimnieciski izdevīgākā piedāvājuma izvēli, un projektu atlasē kā kritērijs netiek piemērota izmaksu un ieguvumu analīze, noteikumu projekta 11. punkta pēdējais teikums - “Potenciālo neto ienākumu no projekta aprēķina saskaņā ar projekta diskontēto neto ienākumu aprēķināšanas metodi” - ir dzēšams.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plānotais kopējais attiecināmais finansējums ir 8 700 001 </w:t>
            </w:r>
            <w:r w:rsidR="00000000" w:rsidRPr="00000000" w:rsidDel="00000000">
              <w:rPr>
                <w:i w:val="1"/>
                <w:rtl w:val="0"/>
              </w:rPr>
              <w:t xml:space="preserve">euro</w:t>
            </w:r>
            <w:r w:rsidR="00000000" w:rsidRPr="00000000" w:rsidDel="00000000">
              <w:rPr>
                <w:rtl w:val="0"/>
              </w:rPr>
              <w:t xml:space="preserve"> (tai skaitā elastības finansējuma apjoms 1 372 211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w:t>
            </w:r>
            <w:r w:rsidR="00000000" w:rsidRPr="00000000" w:rsidDel="00000000">
              <w:rPr>
                <w:rtl w:val="0"/>
              </w:rPr>
              <w:t xml:space="preserve"> (tai skaitā elastības finansējuma apjoms 1 166 379 </w:t>
            </w:r>
            <w:r w:rsidR="00000000" w:rsidRPr="00000000" w:rsidDel="00000000">
              <w:rPr>
                <w:i w:val="1"/>
                <w:rtl w:val="0"/>
              </w:rPr>
              <w:t xml:space="preserve">euro</w:t>
            </w:r>
            <w:r w:rsidR="00000000" w:rsidRPr="00000000" w:rsidDel="00000000">
              <w:rPr>
                <w:rtl w:val="0"/>
              </w:rPr>
              <w:t xml:space="preserve">) un privātais finansējums – ne mazāks par 1 305 001 </w:t>
            </w:r>
            <w:r w:rsidR="00000000" w:rsidRPr="00000000" w:rsidDel="00000000">
              <w:rPr>
                <w:i w:val="1"/>
                <w:rtl w:val="0"/>
              </w:rPr>
              <w:t xml:space="preserve">euro</w:t>
            </w:r>
            <w:r w:rsidR="00000000" w:rsidRPr="00000000" w:rsidDel="00000000">
              <w:rPr>
                <w:rtl w:val="0"/>
              </w:rPr>
              <w:t xml:space="preserve"> (tai skaitā elastības finansējuma apjoms 205 832 </w:t>
            </w:r>
            <w:r w:rsidR="00000000" w:rsidRPr="00000000" w:rsidDel="00000000">
              <w:rPr>
                <w:i w:val="1"/>
                <w:rtl w:val="0"/>
              </w:rPr>
              <w:t xml:space="preserve">euro</w:t>
            </w:r>
            <w:r w:rsidR="00000000" w:rsidRPr="00000000" w:rsidDel="00000000">
              <w:rPr>
                <w:rtl w:val="0"/>
              </w:rPr>
              <w:t xml:space="preserve">). Maksimālā Eiropas Reģionālās attīstības fonda finansējuma intensitāte ir 85 % no projektam plānotā kopējā attiecināmā finansējuma, un privātais līdzfinansējums nav mazāks par 15 % no projektam plānotā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Pieejamais attiecināmais finansējums līdz 2025. gada 31. decembrim, lai slēgtu līgumus par projektu īstenošanu, ir ne mazāks kā 7 327 790 </w:t>
            </w:r>
            <w:r w:rsidR="00000000" w:rsidRPr="00000000" w:rsidDel="00000000">
              <w:rPr>
                <w:i w:val="1"/>
                <w:rtl w:val="0"/>
              </w:rPr>
              <w:t xml:space="preserve">euro</w:t>
            </w:r>
            <w:r w:rsidR="00000000" w:rsidRPr="00000000" w:rsidDel="00000000">
              <w:rPr>
                <w:rtl w:val="0"/>
              </w:rPr>
              <w:t xml:space="preserve">, tai skaitā Eiropas Reģionālās attīstības fonda finansējums – 6 228 621 </w:t>
            </w:r>
            <w:r w:rsidR="00000000" w:rsidRPr="00000000" w:rsidDel="00000000">
              <w:rPr>
                <w:i w:val="1"/>
                <w:rtl w:val="0"/>
              </w:rPr>
              <w:t xml:space="preserve">euro</w:t>
            </w:r>
            <w:r w:rsidR="00000000" w:rsidRPr="00000000" w:rsidDel="00000000">
              <w:rPr>
                <w:rtl w:val="0"/>
              </w:rPr>
              <w:t xml:space="preserve"> un privātais līdzfinansējums – ne mazāks kā 1 099 169 </w:t>
            </w:r>
            <w:r w:rsidR="00000000" w:rsidRPr="00000000" w:rsidDel="00000000">
              <w:rPr>
                <w:i w:val="1"/>
                <w:rtl w:val="0"/>
              </w:rPr>
              <w:t xml:space="preserve">euro</w:t>
            </w:r>
            <w:r w:rsidR="00000000" w:rsidRPr="00000000" w:rsidDel="00000000">
              <w:rPr>
                <w:rtl w:val="0"/>
              </w:rPr>
              <w:t xml:space="preserve">, nepārsniedzot </w:t>
            </w:r>
            <w:r w:rsidR="00000000" w:rsidRPr="00000000" w:rsidDel="00000000">
              <w:rPr>
                <w:rtl w:val="0"/>
              </w:rPr>
              <w:t xml:space="preserve">regulas nr. 651/2014</w:t>
            </w:r>
            <w:r w:rsidR="00000000" w:rsidRPr="00000000" w:rsidDel="00000000">
              <w:rPr>
                <w:rtl w:val="0"/>
              </w:rPr>
              <w:t xml:space="preserve"> 4. panta y apakšpunktā dotācijai noteikto paziņošanas robežvērtību.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finansējuma saņēmējiem ir skaidri atlases īstenošanas nosacījumi, aicinām izvērtēt papildinājuma "nepārsniedzot regulas Nr. 651/2014 4. panta y apakšpunktā dotācijai noteikto paziņošanas robežvērtību" atrašanās vietu. Ņemot vērā, ka regulas Nr. 651/2014 4. panta y apakšpunkts nosaka maksimālās izmaksas vienam projektam, bet noteikumu projekta 12. punkts regulē pirmās kārtas kopējo finansējumu, šī robežvērtība (100 miljoni eiro) jau ir nodrošināta ar noteikumu nosacījumiem un nav nepieciešams to noteikt kā atsevišķu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iesakām attiecīgo piebildi saglabāt tikai noteikumu 46. punktā, kur tā saturiski iederas, tādējādi nodrošinot noteikumu loģiskāku un skaidrāku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regulas Nr. 651/2014 4. panta y apakšpunktu svītrota 12.punktā un saglabāta 46.punktā.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Pieejamais attiecināmais finansējums līdz 2025. gada 31. decembrim, lai slēgtu līgumus par projektu īstenošanu, ir ne mazāks kā 7 327 790 </w:t>
            </w:r>
            <w:r w:rsidR="00000000" w:rsidRPr="00000000" w:rsidDel="00000000">
              <w:rPr>
                <w:i w:val="1"/>
                <w:rtl w:val="0"/>
              </w:rPr>
              <w:t xml:space="preserve">euro</w:t>
            </w:r>
            <w:r w:rsidR="00000000" w:rsidRPr="00000000" w:rsidDel="00000000">
              <w:rPr>
                <w:rtl w:val="0"/>
              </w:rPr>
              <w:t xml:space="preserve">, tai skaitā Eiropas Reģionālās attīstības fonda finansējums – 6 228 621 </w:t>
            </w:r>
            <w:r w:rsidR="00000000" w:rsidRPr="00000000" w:rsidDel="00000000">
              <w:rPr>
                <w:i w:val="1"/>
                <w:rtl w:val="0"/>
              </w:rPr>
              <w:t xml:space="preserve">euro</w:t>
            </w:r>
            <w:r w:rsidR="00000000" w:rsidRPr="00000000" w:rsidDel="00000000">
              <w:rPr>
                <w:rtl w:val="0"/>
              </w:rPr>
              <w:t xml:space="preserve"> un privātais līdzfinansējums – ne mazāks kā 1 099 169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Pieejamais attiecināmais finansējums līdz 2025. gada 31. decembrim, lai slēgtu līgumus par projektu īstenošanu, ir ne mazāks kā 7 327 789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6 228 621 </w:t>
            </w:r>
            <w:r w:rsidR="00000000" w:rsidRPr="00000000" w:rsidDel="00000000">
              <w:rPr>
                <w:i w:val="1"/>
                <w:rtl w:val="0"/>
              </w:rPr>
              <w:t xml:space="preserve">euro</w:t>
            </w:r>
            <w:r w:rsidR="00000000" w:rsidRPr="00000000" w:rsidDel="00000000">
              <w:rPr>
                <w:rtl w:val="0"/>
              </w:rPr>
              <w:t xml:space="preserve"> un privātais līdzfinansējums – ne mazāks kā 1 099 168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saprotam, ka šis termiņš ir attiecināms tikai uz 1.kārtas līguma 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13. punkts nosaka, ka projektu iesniegumu atlases pirmā kārta tiek izsludināta par 12. punktā minēto pieejamo attiecināmo finansējumu, par kuru projektu apstiprināšanas gadījumā būtu slēdzami līgumi ar finansējuma saņēmējiem.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Pieejamais attiecināmais finansējums līdz 2025. gada 31. decembrim, lai slēgtu līgumus par projektu īstenošanu, ir ne mazāks kā 7 327 790 </w:t>
            </w:r>
            <w:r w:rsidR="00000000" w:rsidRPr="00000000" w:rsidDel="00000000">
              <w:rPr>
                <w:i w:val="1"/>
                <w:rtl w:val="0"/>
              </w:rPr>
              <w:t xml:space="preserve">euro</w:t>
            </w:r>
            <w:r w:rsidR="00000000" w:rsidRPr="00000000" w:rsidDel="00000000">
              <w:rPr>
                <w:rtl w:val="0"/>
              </w:rPr>
              <w:t xml:space="preserve">, tai skaitā Eiropas Reģionālās attīstības fonda finansējums – 6 228 621 </w:t>
            </w:r>
            <w:r w:rsidR="00000000" w:rsidRPr="00000000" w:rsidDel="00000000">
              <w:rPr>
                <w:i w:val="1"/>
                <w:rtl w:val="0"/>
              </w:rPr>
              <w:t xml:space="preserve">euro</w:t>
            </w:r>
            <w:r w:rsidR="00000000" w:rsidRPr="00000000" w:rsidDel="00000000">
              <w:rPr>
                <w:rtl w:val="0"/>
              </w:rPr>
              <w:t xml:space="preserve"> un privātais līdzfinansējums – ne mazāks kā 1 099 169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iesniegumu atlases pirmā kārta tiek izsludināta par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pieejamo attiecināmo finansējumu, kur katram plānošanas reģionam atbilstošajam projektam (Latgales, Vidzemes, Rīgas, Zemgales un Kurzemes) ir pieejams kopējais finansējums ne mazāks kā 1 465 558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1 245 724,3 </w:t>
            </w:r>
            <w:r w:rsidR="00000000" w:rsidRPr="00000000" w:rsidDel="00000000">
              <w:rPr>
                <w:i w:val="1"/>
                <w:rtl w:val="0"/>
              </w:rPr>
              <w:t xml:space="preserve">euro</w:t>
            </w:r>
            <w:r w:rsidR="00000000" w:rsidRPr="00000000" w:rsidDel="00000000">
              <w:rPr>
                <w:rtl w:val="0"/>
              </w:rPr>
              <w:t xml:space="preserve"> un privātais līdzfinansējums – ne mazāks kā 219 833,7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finansējuma saņēmējiem ir skaidri un precīzi atlases īstenošanas nosacījumi, lūdzam precizēt un salāgot ar noteikumu 11. un 12. punktu katram plānošanas reģionam (Latgales, Vidzemes, Rīgas, Zemgales un Kurzemes) atbilstoši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Salāgojot ar 12.punktā noteikto pieejamo finansējumu, viena projekta Eiropas Reģionālās attīstības fonda finansējums samazināts par 0,1 euro un privātais līdzfinansējums palielināts par 0,1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iesniegumu atlases pirmā kārta tiek izsludināta par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pieejamo attiecināmo finansējumu, kur katram plānošanas reģionam atbilstošajam projektam (Latgales, Vidzemes, Rīgas, Zemgales un Kurzemes) ir pieejams kopējais finansējums ne mazāks kā 1 465 558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1 245 724,2 </w:t>
            </w:r>
            <w:r w:rsidR="00000000" w:rsidRPr="00000000" w:rsidDel="00000000">
              <w:rPr>
                <w:i w:val="1"/>
                <w:rtl w:val="0"/>
              </w:rPr>
              <w:t xml:space="preserve">euro</w:t>
            </w:r>
            <w:r w:rsidR="00000000" w:rsidRPr="00000000" w:rsidDel="00000000">
              <w:rPr>
                <w:rtl w:val="0"/>
              </w:rPr>
              <w:t xml:space="preserve"> un privātais līdzfinansējums – ne mazāks kā 219 833,8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Pēc 2026. gada 1. janvāra atbilstoši Eiropas Komisijas lēmumam par vidusposma pārskatu atbildīgā iestāde var ierosināt sadarbības iestādei palielināt pasākumam pieejamo Eiropas Reģionālās attīstības fonda finansējumu līdz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minētajam plānotajam kopējam finansējuma apmēram. Ja pasākumam pieejamais Eiropas Reģionālās attīstības fonda finansējums tiek palielināts, sadarbības iestāde izsludina projektu atlases otro kārtu par pieejamo finansējumu, tostarp (ja attiecināms) par neizmantoto pirmās atlases kārtas finansējumu. Projektu atlases otrajā kārtā apstiprina vienu projektu par visu Latvijas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14. punkta pēdējo teikumu aiz vārda "apstiprina" ar vārdiem "ne vairāk kā", ņemot vērā, ka pastāv risks, ka projekta iesniegums neatbilst kritērijiem un citām prasībām, lai to apstiprinātu.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Pēc 2026. gada 1. janvāra atbilstoši Eiropas Komisijas lēmumam par vidusposma pārskatu atbildīgā iestāde var ierosināt sadarbības iestādei palielināt pasākumam pieejamo Eiropas Reģionālās attīstības fonda finansējumu līdz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minētajam plānotajam kopējam finansējuma apmēram. Ja pasākumam pieejamais Eiropas Reģionālās attīstības fonda finansējums tiek palielināts, sadarbības iestāde izsludina projektu atlases otro kārtu par pieejamo finansējumu, tostarp (ja attiecināms) par neizmantoto pirmās atlases kārtas finansējumu. Projektu atlases otrajā kārtā apstiprina ne vairāk kā vienu projektu par visu Latvijas teritoriju.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līdz 2029.gada 31.decembrim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salāgot noteikumu projektu ar citiem elektronisko sakaru nozari regulējošiem normatīvajiem aktiem, Regulators aicina noteikumu projekta 15.punktā vārdu “abonē” aizstāt ar vārdu “izmanto”.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“abonē” aizstāt ar vārdu “izmanto”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15.punktā vārds “abonē” lietots atbilstoši kopīgo rādītāju definīcijām, kas noteiktas Eiropas Parlamenta un Padomes Regulas (ES) 2021/1058 (2021. gada 24. jūnijs) par Eiropas Reģionālās attīstības fondu un Kohēzijas fondu I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gan elektronisko sakaru nozari regulējošiem normatīvajiem aktiem, gan ES kohēzijas programmā 2021-2027. gadam  noteiktajām kopīgo rādītāju definīcijām, noteikumu 15. un 16.punktā lietota redakcija “abonē (izmanto)”.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Specifiskā atbalsta mērķa un pasākuma ietvaros ir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līdz 2029.gada 31.decembrim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salāgot noteikumu projektu ar citiem elektronisko sakaru nozari regulējošiem normatīvajiem aktiem, Regulators aicina noteikumu projekta 15.punktā vārdu “abonē” aizstāt ar vārdu “izmanto”.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15.punktā vārds “abonē” lietots atbilstoši kopīgo rādītāju definīcijām, kas noteiktas Eiropas Parlamenta un Padomes Regulas (ES) 2021/1058 (2021. gada 24. jūnijs) par Eiropas Reģionālās attīstības fondu un Kohēzijas fondu I pielikumam.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Specifiskā atbalsta mērķa un pasākuma ietvaros ir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projektu atlases pirmajā kārtā līdz 2029.gada 31.decembrim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salāgot noteikumu projektu ar citiem elektronisko sakaru nozari regulējošiem normatīvajiem aktiem, Regulators aicina noteikumu projekta 16.punktā vārdu “abonē” aizstāt ar vārdu “izmanto”.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“abonē” aizstāt ar vārdu “izmanto”.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15.punktā vārds “abonē” lietots atbilstoši kopīgo rādītāju definīcijām, kas noteiktas Eiropas Parlamenta un Padomes Regulas (ES) 2021/1058 (2021. gada 24. jūnijs) par Eiropas Reģionālās attīstības fondu un Kohēzijas fondu I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gan elektronisko sakaru nozari regulējošiem normatīvajiem aktiem, gan ES kohēzijas programmā 2021-2027. gadam  noteiktajām kopīgo rādītāju definīcijām, noteikumu 15. un 16.punktā lietota redakcija “abonē (izmanto)”.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projektu atlases pirmajā kārtā līdz 2029. gada 31. decembrim ir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projektu atlases pirmajā kārtā līdz 2029.gada 31.decembrim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salāgot noteikumu projektu ar citiem elektronisko sakaru nozari regulējošiem normatīvajiem aktiem, Regulators aicina noteikumu projekta 16.punktā vārdu “abonē” aizstāt ar vārdu “izmanto”.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15.punktā vārds “abonē” lietots atbilstoši kopīgo rādītāju definīcijām, kas noteiktas Eiropas Parlamenta un Padomes Regulas (ES) 2021/1058 (2021. gada 24. jūnijs) par Eiropas Reģionālās attīstības fondu un Kohēzijas fondu I pielikumam.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projektu atlases pirmajā kārtā līdz 2029. gada 31. decembrim ir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rādītāju sasniegšanu finansējuma saņēmējs apraksta progresa ziņojumā, kuru tas iesniedz sadarbības iestādei, un kura saturs un sniegšanas kārtība ir noteikta līgumā par projekta īstenošanu. Progresa ziņojumā iekļauj vismaz šādas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saņēmējiem būtu skaidri projekta īstenošanas nosacījumi, lūdzam sniegt papildu skaidrojumu par to, vai noteikumu projekta 19.punktā minētais progresa pārskats ir jāparedz kā papildu iesniedzamais dokuments, papildus jau maksājumu pieprasījumā paredzētajai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progresa pārskats ir atsevišķs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rādītāju sasniegšanu finansējuma saņēmējs apraksta progresa ziņojumā, kuru tas iesniedz sadarbības iestādei, un kura saturs un sniegšanas kārtība ir noteikta līgumā par projekta īstenošanu. Progresa ziņojumā iekļauj vismaz šādas sadaļas: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investīciju kartējums - galalietotāju, kuriem projektā nodrošināta piekļuve ļoti augstas veiktspējas platjoslas tīklam, atrašanās vieta, projektā izveidotās infrastruktūras veids un atrašanās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investīciju kartējums - galalietotāju, kuriem projektā nodrošināta piekļuve ļoti augstas veiktspējas platjoslas tīklam, atrašanās vieta, projektā izveidotās infrastruktūras veids un atrašanās vieta; (atrašanās vieta 2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investīciju kartējums - galalietotāju, kuriem projektā nodrošināta piekļuve ļoti augstas veiktspējas platjoslas tīklam, galalietotāju atrašanās vieta, projektā izveidotās infrastruktūras veids un tās atrašanās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paredzēts ziņot par dažādām “atrašanās vietām”- par galalietotājiem un par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investīciju kartējums - galalietotāju, kuriem projektā nodrošināta piekļuve ļoti augstas veiktspējas platjoslas tīklam, atrašanās vieta, projektā izveidotās infrastruktūras veids un atrašanās vieta;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apliecinājums, ka finansējuma saņēmēja rīcībā ir rādītāju sasniegšanas dokumentārie pierādījumi, tostarp nodošanas – pieņemšanas akti, lejuplādes ātruma mērījumu akti, līgumi par elektronisko sakaru pakalpojumu abonēšanu u.c., un tie tiks uzrādīti pēc pieprasījuma sadarbības iestādei vai auditējošai iestādei visā projekta īstenošanas un pēcuzraudzības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salāgot noteikumu projektu ar citiem elektronisko sakaru nozari regulējošiem normatīvajiem aktiem, Regulators aicina noteikumu projekta 19.3.apakšpunktā vārdu “abonēšanu” aizstāt ar vārdu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apliecinājums, ka finansējuma saņēmēja rīcībā ir rādītāju sasniegšanas dokumentārie pierādījumi, tostarp nodošanas – pieņemšanas akti, lejuplādes ātruma mērījumu akti, līgumi par interneta piekļuves pakalpojumu sniegšanu, pamatojumi, ka, balstoties uz būvniecības normatīvajos aktos noteiktajām prasībām un termiņiem, galalietotājam attiecīgajos objektos ir iespēja abonēt (izmantot)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elektronisko sakaru pakalpojumu mēneša laikā no pieteikuma iesniegšanas elektronisko sakaru komersantam, u.c., un tie tiks uzrādīti pēc pieprasījuma sadarbības iestādei vai auditējošai iestādei visā projekta īstenošanas un pēcuzraudzības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apliecinājums, ka finansējuma saņēmēja rīcībā ir rādītāju sasniegšanas dokumentārie pierādījumi, tostarp nodošanas – pieņemšanas akti, lejuplādes ātruma mērījumu akti, līgumi par elektronisko sakaru pakalpojumu abonēšanu u.c., un tie tiks uzrādīti pēc pieprasījuma sadarbības iestādei vai auditējošai iestādei visā projekta īstenošanas un pēcuzraudzības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papildu prasībām, lai, pirmkārt, nodrošinātu datu precizitāti un atbilstību faktiskajai tīkla slodzei augstākās noslodzes stundās, kā arī, otrkārt, lai novērtētu tīkla darbību plašākā lietotāju spektrā.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lejuplādes ātruma mērījumus, kuros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mērījumus dažādos laika periodos, tostarp darba dienās un brīvdienās laika posmos no plkst. 08:00 līdz 12:00, no plkst. 13:00 līdz 17:00 un no plkst. 19:00 līdz 23:00;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19.4.2. mērījumus, izmantojot dažāda veida galiekārtas, tajā skaitā mobilās ierīces un ierīces, kas pieslēgtas tieši pie modema.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saprātīgu administratīvo slogu - viens no pierādījumiem piekļuvei ir mērījumu veikšanas akts par pieslēguma ātrumu – parametru, kas megabitos vai gigabitos sekundē raksturo lejupielādes informācijas apmaiņas ātrumu datu kanālā, piemēram,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 viendzīvokļa privātmājas galalietotāja galiekārtas (galalietotāja adresē), vai gadījumā, ja nav iespējams galalietotāja adresē fiziski iekļūt (nevar tikt iekšā, piemēram, mājsaimniecība nav ieinteresēta abonēt piedāvāto pakalpojumu), tad pie tuvākā elektronisko sakaru tīkla elementa (piemēram, kabelis pie zemes gabala robežas ar optiskā tīkla sadales punktu, tostarp, skapi),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 daudzdzīvokļu mājai tuvākā elektronisko sakaru tīkla elementa (piemēram, kabelis ēkā ar optiskā tīkla sadales punktu) vai pie galalietotāja galiekārtas (galalietotāja adresē)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Latvijas interneta apmaiņas punktam vai operatora centrālajam komutācijas (references) punktam.  Vēlamākais ir tieši mērījums pie galalietotāja iekārtas, taču, ja galalietotājs neabonē elektronisko sakaru pakalpojumu vai ir citi apstākļi, kādēļ tas nav iespējams, mērījumus veic pie tuvākā elektronisko sakaru tīkla elementa.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iesniedzot mērījuma aktu, papildus ir jāsniedz skaidrojums ar dokumentālu pamatojumu, kā elektronisko sakaru komersanta izvēlētā tehnoloģija nodrošinās vismaz 300 Mbit/s katrai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par pakalpojuma kvalitāti ir atbildīgs elektronisko sakaru komersants. Gadījumā, piemēram, ņemot vērā sūdzību vai pārbaudes, tiks konstatēts, ka elektronisko sakaru komersants nespēj nodrošināt internetu ar lejupielādes ātrumu 300 Mbit/s, tiks lemts par neatbilstību un finansējuma ieturējumu vai atmaksu.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detalizēti tiek atrunāti līgumā ar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apliecinājums, ka finansējuma saņēmēja rīcībā ir rādītāju sasniegšanas dokumentārie pierādījumi, tostarp nodošanas – pieņemšanas akti, lejuplādes ātruma mērījumu akti, līgumi par interneta piekļuves pakalpojumu sniegšanu, pamatojumi, ka, balstoties uz būvniecības normatīvajos aktos noteiktajām prasībām un termiņiem, galalietotājam attiecīgajos objektos ir iespēja abonēt (izmantot)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elektronisko sakaru pakalpojumu mēneša laikā no pieteikuma iesniegšanas elektronisko sakaru komersantam, u.c., un tie tiks uzrādīti pēc pieprasījuma sadarbības iestādei vai auditējošai iestādei visā projekta īstenošanas un pēcuzraudzības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Atbilstību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noteiktajām prasībām projekta iesniedzējs apliecina, iesniedzot sadarbības iestādē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informāciju. Sadarbības partnerim ir pienākums ievērot šo noteikumu </w:t>
            </w:r>
            <w:r w:rsidR="00000000" w:rsidRPr="00000000" w:rsidDel="00000000">
              <w:rPr>
                <w:rtl w:val="0"/>
              </w:rPr>
              <w:t xml:space="preserve">37.6. </w:t>
            </w:r>
            <w:r w:rsidR="00000000" w:rsidRPr="00000000" w:rsidDel="00000000">
              <w:rPr>
                <w:rtl w:val="0"/>
              </w:rPr>
              <w:t xml:space="preserve">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nolikuma izstrādes procesā var rasties nepieciešamība pēc precizējumiem pievienojamos dokumentos, tostarp pielikumā. Lai nodrošinātu iespēju pielāgot pielikumu atlases nolikuma specifikai un vērtēšanas kritēriju prasībām, kā arī iespēju apvienot visus būtiskākos pielikumus vienā datnē, tādējādi padarot projekta iesnieguma aizpildīšanas un pēctecīgi arī pārbaudes procesu vieglāku un pārskatāmāku, aicinām iekļaut pielikumu kā projekta iesniegumu atlases nolikuma daļu un izslēgt to no MK noteikumu 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Atbilstību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noteiktajām prasībām projekta iesniedzējs apliecina, iesniedzot sadarbības iestādē pieredzes aprakstu, kura saturu nosaka projektu atlases nolikumā. Projekta iesniedzējs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noteikto prasību par tīkla nodrošināšanu 300 adresēs var izpildīt kopā ar sadarbības partneri. Sadarbības partnerim ir pienākums ievērot šo noteikumu </w:t>
            </w:r>
            <w:r w:rsidR="00000000" w:rsidRPr="00000000" w:rsidDel="00000000">
              <w:rPr>
                <w:rtl w:val="0"/>
              </w:rPr>
              <w:t xml:space="preserve">37.6. </w:t>
            </w:r>
            <w:r w:rsidR="00000000" w:rsidRPr="00000000" w:rsidDel="00000000">
              <w:rPr>
                <w:rtl w:val="0"/>
              </w:rPr>
              <w:t xml:space="preserve">apakšpunktu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uzsāk projektā paredzēto darbību īstenošanu pēc projekta iesnieguma iesniegšanas sadarbības iestādē, atbilstoši regulas </w:t>
            </w:r>
            <w:r w:rsidR="00000000" w:rsidRPr="00000000" w:rsidDel="00000000">
              <w:rPr>
                <w:rtl w:val="0"/>
              </w:rPr>
              <w:t xml:space="preserve">Nr. 651/2024</w:t>
            </w:r>
            <w:r w:rsidR="00000000" w:rsidRPr="00000000" w:rsidDel="00000000">
              <w:rPr>
                <w:rtl w:val="0"/>
              </w:rPr>
              <w:t xml:space="preserve"> 6. panta 2. punktam un </w:t>
            </w:r>
            <w:r w:rsidR="00000000" w:rsidRPr="00000000" w:rsidDel="00000000">
              <w:rPr>
                <w:rtl w:val="0"/>
              </w:rPr>
              <w:t xml:space="preserve">Nr. 651/2014</w:t>
            </w:r>
            <w:r w:rsidR="00000000" w:rsidRPr="00000000" w:rsidDel="00000000">
              <w:rPr>
                <w:rtl w:val="0"/>
              </w:rPr>
              <w:t xml:space="preserve"> 2. panta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saņēmējiem būtu skaidri projekta īstenošanas nosacījumi, lūdzam pārskatīt visu noteikumu projekta redakciju un, ja nepieciešams, precizēt to, lai noteikumu projekta punkti saturiski nedublētu citus punktus. Piemēram, noteikumu projekta 24. punkts atkārto 48. punktā norādīto, 37.5 apakšpunkts atkārto 38.punktu, savukārt 46. punkts dublē un apkopo 6., 12., 13. un 14. punktos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un sadarbības partneris uzsāk projektā paredzēto darbību īstenošanu pēc projekta iesnieguma iesniegšanas sadarbības iestādē, atbilstoši regulas </w:t>
            </w:r>
            <w:r w:rsidR="00000000" w:rsidRPr="00000000" w:rsidDel="00000000">
              <w:rPr>
                <w:rtl w:val="0"/>
              </w:rPr>
              <w:t xml:space="preserve">Nr. 651/2024</w:t>
            </w:r>
            <w:r w:rsidR="00000000" w:rsidRPr="00000000" w:rsidDel="00000000">
              <w:rPr>
                <w:rtl w:val="0"/>
              </w:rPr>
              <w:t xml:space="preserve"> 6. panta 2. punktam un regulas </w:t>
            </w:r>
            <w:r w:rsidR="00000000" w:rsidRPr="00000000" w:rsidDel="00000000">
              <w:rPr>
                <w:rtl w:val="0"/>
              </w:rPr>
              <w:t xml:space="preserve">Nr. 651/2014</w:t>
            </w:r>
            <w:r w:rsidR="00000000" w:rsidRPr="00000000" w:rsidDel="00000000">
              <w:rPr>
                <w:rtl w:val="0"/>
              </w:rPr>
              <w:t xml:space="preserve"> 2. panta 23.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īstenošanas personāla atlīdzības izmaksas un izmaksas, kas radušās uz darba līguma pamata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darbu veikšanai, izņemot materiālu un iekārtu iegādi un būvuzraudzību.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Vadošās iestādes vadlīniju Nr. 1.2. "Vadlīnijas attiecināmo izmaksu noteikšanai Eiropas Savienības kohēzijas politikas programmas 2021.-2027.gada plānošanas periodā" 7.4. apakšpunktā noteikts, ka daļlaika gadījumā attiecināma ir ne mazāka kā 30 procentu noslodze, lūdzam papildināt noteikumu projekta 30.11. apakšpunktu ar šādu papildinājumu: ''Ja personāla iesaisti projektā nodrošina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īstenošanas personāla atlīdzības izmaksas un izmaksas, kas radušās uz darba līguma pamata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darbu veikšanai, izņemot materiālu un iekārtu iegādi un būvuzraudzību. Ja personāla iesaisti projektā nodrošina saskaņā ar daļlaika attiecināmības principu, attiecināma ir ne mazāka kā 30 % noslodze.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30.11. </w:t>
            </w:r>
            <w:r w:rsidR="00000000" w:rsidRPr="00000000" w:rsidDel="00000000">
              <w:rPr>
                <w:rtl w:val="0"/>
              </w:rPr>
              <w:t xml:space="preserve">apakšpunktā</w:t>
            </w:r>
            <w:r w:rsidR="00000000" w:rsidRPr="00000000" w:rsidDel="00000000">
              <w:rPr>
                <w:rtl w:val="0"/>
              </w:rPr>
              <w:t xml:space="preserve"> noteiktās attiecināmās izmaksas, izņemot materiālu un iekārtu iegādes un būvdarbu uzraudzības izmaksas, un nepārsniedzot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noteiktos attiecināmo izmaksu ierobežojumus, iespējams attiecināt finansējuma saņēmējam vai sadarbības partnerim, ja ir izpildīti visi uzskaitītie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saņēmējiem būtu skaidri projekta īstenošanas nosacījumi un ņemot vērā, ka noteikumu projekta 39. punkts nosaka ierobežojumus, kas attiecas uz avansa maksājuma izmaksas kārtību, nevis uz attiecināmajām izmaksām, lūdzam noteikumu projekta 31. punktā dzēst atsauci uz 39.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30.10. </w:t>
            </w:r>
            <w:r w:rsidR="00000000" w:rsidRPr="00000000" w:rsidDel="00000000">
              <w:rPr>
                <w:rtl w:val="0"/>
              </w:rPr>
              <w:t xml:space="preserve">apakšpunktā</w:t>
            </w:r>
            <w:r w:rsidR="00000000" w:rsidRPr="00000000" w:rsidDel="00000000">
              <w:rPr>
                <w:rtl w:val="0"/>
              </w:rPr>
              <w:t xml:space="preserve"> noteiktās attiecināmās izmaksas, izņemot materiālu un iekārtu iegādes un būvdarbu uzraudzības izmaksas, un nepārsniedzot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noteiktos attiecināmo izmaksu ierobežojumus, iespējams attiecināt finansējuma saņēmējam vai sadarbības partnerim par pašu veiktajiem darbiem, ja ir izpildīti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īstenošanas gaitā radušās sadārdzinājuma izmaksas finansējuma saņēmējs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atbalsts tiek piešķirts kā komercdarbības atbalsts, projekta īstenošanas gaitā radušās sadārdzinājuma izmaksas finansējuma saņēmējs un sadarbības partneris (ja attiecināms) sedz no saviem līdzekļiem, kas brīvi no jebkāda komercdarbības atbalsta. Ņemot vērā to, ka no noteikumu projekta nav skaidrs, ko ietver jēdziens “savi līdzekļi”, aicinām izteikt noteikumu projekta 36. punktu, piemēram,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radušās sadārdzinājuma izmaksas finansējuma saņēmējs un sadarbības partneris (ja attiecināms) sedz no saviem līdzekļiem, kas ir brīvi no jebkāda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īstenošanas gaitā radušās sadārdzinājuma izmaksas finansējuma saņēmējs un sadarbības partneris (ja attiecināms) sedz no saviem līdzekļiem, kas ir brīvi no jebkāda komercdarbības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nodrošina komunikācijas un vizuālās identitātes pasākumus atbilstoši nosacījumiem saskaņā ar regulas </w:t>
            </w:r>
            <w:r w:rsidR="00000000" w:rsidRPr="00000000" w:rsidDel="00000000">
              <w:rPr>
                <w:rtl w:val="0"/>
              </w:rPr>
              <w:t xml:space="preserve">Nr. 2021/1060</w:t>
            </w:r>
            <w:r w:rsidR="00000000" w:rsidRPr="00000000" w:rsidDel="00000000">
              <w:rPr>
                <w:rtl w:val="0"/>
              </w:rPr>
              <w:t xml:space="preserve"> 47. pantu un 50. pantu, un kārtību, kādā Eiropas Savienības fondu vadībā iesaistītās institūcijas nodrošina šo fondu ieviešanu 2021.–2027.gada plānošanas periodā, ņemot vērā stratēģiskas nozīmes projektam noteiktās prasības, kas noteiktas vadošās iestādes izstrādāto Eiropas Savienības fondu 2021.–2027. gada plānošanas perioda un Atveseļošanas fonda komunikācijas un dizaina vadlīniju 3. nodaļā “Atveseļošanas fonda prasības”,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komunikācijas un vizuālās identitātes pasākumu nodrošināšanu kā atbalstāmo darbību, tai atbilstoši paredzot arī attiecināmo izmaksu pozīciju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regulas 615/2014 52.panta 2.punkts nosaka, ka  attiecināmās izmaksas ir fiksētā platjoslas tīkla izbūves, pārvaldības un ekspluatācijas izmaksas. Līdz ar to  komunikācijas un vizuālās identitātes pasākumu nodrošināšanas izmaksas nav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nodrošina komunikācijas un vizuālās identitātes pasākumus atbilstoši nosacījumiem saskaņā ar regulas </w:t>
            </w:r>
            <w:r w:rsidR="00000000" w:rsidRPr="00000000" w:rsidDel="00000000">
              <w:rPr>
                <w:rtl w:val="0"/>
              </w:rPr>
              <w:t xml:space="preserve">Nr. 2021/1060</w:t>
            </w:r>
            <w:r w:rsidR="00000000" w:rsidRPr="00000000" w:rsidDel="00000000">
              <w:rPr>
                <w:rtl w:val="0"/>
              </w:rPr>
              <w:t xml:space="preserve"> 47. pantu un 50. pantu, un kārtību, kādā Eiropas Savienības fondu vadībā iesaistītās institūcijas nodrošina šo fondu ieviešanu 2021.–2027.gada plānošanas periodā, ņemot vērā stratēģiskas nozīmes projektam noteiktās prasības, tostarp: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Pēc tam, kad noslēgts līgums par projekta īstenošanu, sadarbības iestāde, pamatojoties uz finansējuma saņēmēja rakstisku avansa pieprasījumu, atbilstoši normatīvajam aktam par valsts budžeta līdzekļu plānošanu Eiropas Savienības struktūrfondu un Kohēzijas fonda projektu īstenošanai un maksājumu veikšanu 2021.–2027. gada plānošanas periodā var piešķirt finansējuma saņēmējam avansa maksājumus. Maksimālais avansa apjoms nevar pārsniegt 30 % no projektam piešķirtā Eiropas Reģionālās attīstības fonda finansējuma. Avansu var izmaksāt vairākos maksājumos. Sadarbības iestāde, veicot avansa un starpposma maksājumus, ievēro nosacījumu, ka to kopsumma nedrīkst pārsniegt 90 % no projektam piešķirtā Eiropas Reģionālās attīstības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39. punktā vārdus "Eiropas Savienības struktūrfondu un Kohēzijas fonda" ar vārdiem "Eiropas Savienības fondu", ņemot vērā, ka apzīmējums "Eiropas Savienības struktūrfondi un Kohēzijas fonds" attiecināms uz to 2014.-2020. gada plānošanas perioda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Pēc tam, kad noslēgts līgums par projekta īstenošanu, sadarbības iestāde, pamatojoties uz finansējuma saņēmēja rakstisku avansa pieprasījumu, atbilstoši normatīvajam aktam par valsts budžeta līdzekļu plānošanu Eiropas Savienības fondu projektu īstenošanai un maksājumu veikšanu 2021.–2027. gada plānošanas periodā var piešķirt finansējuma saņēmējam avansa maksājumus. Maksimālais avansa apjoms nevar pārsniegt 30 % no projektam piešķirtā Eiropas Reģionālās attīstības fonda finansējuma. Avansu var izmaksāt vairākos maksājumos. Sadarbības iestāde, veicot avansa un starpposma maksājumus, ievēro nosacījumu, ka to kopsumma nedrīkst pārsniegt 90 % no projektam piešķirtā Eiropas Reģionālās attīstības fonda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projekta īstenošanai nepieciešamo preču un pakalpojumu iegādi veic saskaņā ar publisko iepirkumu reglamentējošajiem normatīvajiem aktiem, īstenojot atklātu, pārredzamu, nediskriminējošu un konkurenci nodrošinošu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40. punktu, attiecinot arī uz sadarbības partneri pienākumu par iepirkuma procedūras veikšanu projekta īstenošanai nepieciešamo preču un pakalpojumu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un sadarbības partneris projekta īstenošanai nepieciešamo preču un pakalpojumu iegādi veic saskaņā ar publisko iepirkumu reglamentējošajiem normatīvajiem aktiem, īstenojot atklātu, pārredzamu, nediskriminējošu un konkurenci nodrošinošu konkursa procedūru.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nodrošina principa "nenodarīt būtisku kaitējumu" ievērošanu un projekta atbilstību Eiropas Savienības un nacionālajiem normatīvajiem aktiem vides jomā,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30.punktā norādītās attiecināmo izmaksu pozīcijas platjoslas infrastruktūras attīstībai (pēdējā jūdze) paredz tādas izmaksu pozīcijas, kas ir vērstas uz infrastruktūras izveidi, izbūvi, t.sk. paredz ļoti augstas veiktspējas tīkla pasīvās un aktīvās infrastruktūras (t.sk., radio bāzes stacijas, serveru iegāde) iegādes un būvniecības izmaksas, kas potenciāli ir vērtējamas arī no horizontālā principa “Klimatdrošināšana” aspekta. Lai nodrošinātu, ka, īstenojot platjoslas infrastruktūras attīstības (pēdējās jūdzes) projektus, attiecināmības gadījumā tiktu nodrošināta horizontālā principa "Klimatdrošināšana" ievērošana, aicinām pārskatīt noteikumu projekta 41.punktu un attiecināmības gadījumā to papildināt ar nosacījumu, ka finansējuma saņēmējs nodrošina horizontālā principa "Klimatdrošināšana" ievērošanu, kā arī noteikt, ka tiek uzkrāti dati par minētā principa īstenošanu. Attiecināmības gadījumā lūdzam precizēt norādīto informāciju arī anotācijā par pasākuma ietekmi uz  horizontālo principu "Klimatdrošināšana".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kohēzijas politikas programmas 2021.–2027. gadam horizontālā principa "nenodarīt būtisku kaitējumu" novērtējumā sniegto informāciju, ka pasākumam nav būtiskas ietekmes uz klimata pārmaiņu mazināšanu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pielāgošanos klimata pārmaiņām, secināms, ka noteikumu 41.punkta papildināšana ar papildu pasākumiem un informācijas uzkrāšanas prasībām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informācija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1.4.1.1. pasākumu un tā ietvaros plānotajām atbalstāmajām darbībām un attiecināmajām izmaksām, horizontālā principa “Klimatdrošināšana” aspekti pēc būtības ir vērtēti arī Eiropas Savienības kohēzijas politikas programmas 2021.–2027. gadam principa "nenodarīt būtisku kaitējumu" novērtējumā, secinot, ka pasākumam nav paredzamas ietekmes vai paredzamā ietekme ir nebūtiska saistībā ar pasākuma tiešajām un primārajām netiešajam sekām visā tā dzīves ciklā, ņemot vērā tā būtību. Līdz ar to noteikumu projektā iekļautās prasības par zaļā publiskā iepirkuma,  ilgtspējīgu un atjaunojamo energoresursu risinājumu izmantošanu pēc būtības jau ir vērstas uz horizontālā principa “Klimatdrošināšana” ievērošanu.  Ņemot vērā minēto, informāciju par principu “Klimatdrošināšana” finansējuma saņēmējam atsevišķi nav nepieciešams uzkrāt”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nodrošina principa "nenodarīt būtisku kaitējumu" ievērošanu un projekta atbilstību Eiropas Savienības un nacionālajiem normatīvajiem aktiem vides jomā, tostarp: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nodrošina principa "nenodarīt būtisku kaitējumu" ievērošanu un projekta atbilstību Eiropas Savienības un nacionālajiem normatīvajiem aktiem vides jomā,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arī projekta iesniegumu vērtēšanas kritēriju piemērošanas metodikas 3.4. kritērijā, noteikts, ka projekta iesniegums paredz vismaz vienas vispārīgas HP VINPI darbības veikšanu, kas attiecas uz publicitāti, personālu vai publiskajiem iepirkumiem. Lai nodrošinātu informācijas saskaņotību MK noteikumos un pārējā atlases dokumentācijā, ka arī lai projekta nosacījumi ir savstarpēji pamatoti, aicinām papildināt noteikumu projektu ar punktu par nepieciešamību veikt HP VINPI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pasākumam nav ietekmes uz HP VINPI.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horizontālā principa “Vienlīdzība, iekļaušana, nediskriminācija un pamattiesību ievērošana” īstenošanai un uzraudzībai (2021-2027)” Ministru kabineta noteikumos nav jāietver pienākumi attiecībā uz HP VINPI. Attiecīgi anotācijas 8.2. sadaļā ir iekļauta informācija, ka projekta vērtēšanā tiks piemērots VINPI  kritērijs.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nodrošina principa "nenodarīt būtisku kaitējumu" ievērošanu un projekta atbilstību Eiropas Savienības un nacionālajiem normatīvajiem aktiem vides jomā, tostarp: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Projekta rezultātā veiktie ieguldījumi ir finansējuma saņēmēja vai partnera (ja attiecināms)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viennozīmīgu interpretāciju, lūdzam precizēt noteikumu projekta 44. punktu, 45.3. un 45.7. apakšpunktu, aizstājot vārdu "partneris" (attiecīgā locījumā) ar vārdiem "sadarbības partneris"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Projekta rezultātā veiktie ieguldījumi ir finansējuma saņēmēja vai sadarbības partnera (ja attiecināms)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 finansējuma saņēmējs un partneris (ja attiecināms) nodrošina atsevišķu grāmatvedības uzskaiti par finansējuma izlietojumu projektā, nodalot tā ietvaros veiktās darbības no citas saimnieciskās darbības atbilstoši regulas </w:t>
            </w:r>
            <w:r w:rsidR="00000000" w:rsidRPr="00000000" w:rsidDel="00000000">
              <w:rPr>
                <w:rtl w:val="0"/>
              </w:rPr>
              <w:t xml:space="preserve">651/2014</w:t>
            </w:r>
            <w:r w:rsidR="00000000" w:rsidRPr="00000000" w:rsidDel="00000000">
              <w:rPr>
                <w:rtl w:val="0"/>
              </w:rPr>
              <w:t xml:space="preserve"> 52. panta 11.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45.3. apakšpunkta regulējums, iespējams, dublē 37.8. apakšpunktu. Ņemot vērā minēto, lūdzam izvērtēt, vai 45.3. apakšpunkts atbilst Ministru kabineta 2009. gada 3. februāra noteikumu Nr. 108 "Normatīvo aktu projektu sagatavošanas noteikumi" 3.2. un 3.3. apakšpunktu prasībām par regulējuma skaidrību un izvairīšanos no atkārtošanās, un nepieciešamības gadījumā precizēt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 finansējuma saņēmējs un sadarbības partneris (ja attiecināms) nodrošina atsevišķu grāmatvedības uzskaiti par finansējuma izlietojumu projektā, nodalot tā ietvaros veiktās darbības no citas saimnieciskās darbības atbilstoši regulas </w:t>
            </w:r>
            <w:r w:rsidR="00000000" w:rsidRPr="00000000" w:rsidDel="00000000">
              <w:rPr>
                <w:rtl w:val="0"/>
              </w:rPr>
              <w:t xml:space="preserve">Nr. 651/2014</w:t>
            </w:r>
            <w:r w:rsidR="00000000" w:rsidRPr="00000000" w:rsidDel="00000000">
              <w:rPr>
                <w:rtl w:val="0"/>
              </w:rPr>
              <w:t xml:space="preserve"> </w:t>
            </w:r>
            <w:r w:rsidR="00000000" w:rsidRPr="00000000" w:rsidDel="00000000">
              <w:rPr>
                <w:rtl w:val="0"/>
              </w:rPr>
              <w:t xml:space="preserve"> 52. panta 11.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 finansējuma saņēmējs un partneris (ja attiecināms) pēc projekta pabeigšanas nodrošina galalietotājiem regulas </w:t>
            </w:r>
            <w:r w:rsidR="00000000" w:rsidRPr="00000000" w:rsidDel="00000000">
              <w:rPr>
                <w:rtl w:val="0"/>
              </w:rPr>
              <w:t xml:space="preserve">651/2014</w:t>
            </w:r>
            <w:r w:rsidR="00000000" w:rsidRPr="00000000" w:rsidDel="00000000">
              <w:rPr>
                <w:rtl w:val="0"/>
              </w:rPr>
              <w:t xml:space="preserve"> 2.panta 139.a punktam atbilstošu ikmēneša abonēšanas cenu par platjoslas pieslēgumu ļoti augstas veiktspējas tīklam, kā arī kopā ar projekta iesniegumu iesniedz sadarbības iestādē apliecinājumu, ka minētā ikmēneša abonēšanas cena nepārsniedz finansējuma saņēmēja parasto piemēroto maksu par platjoslas pieslēgumu, proti, tā neietver nekādas papildu vai neparedzētas izmaksas salīdzinājumā ar standarta komercpraksi.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salāgot noteikumu projektu ar citiem elektronisko sakaru nozari regulējošiem normatīvajiem aktiem, Regulators aicina noteikumu projekta 45.7.apakšpunktā vārdu “abonēšanas” aizstāt ar vārdu “pakalpojuma”.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 finansējuma saņēmējs un sadarbības partneris (ja attiecināms) pēc projekta pabeigšanas visā šī pasākuma ietvaros izveidotās infrastruktūras amortizācijas periodā  nodrošina galalietotājiem iespēju saņemt regulas </w:t>
            </w:r>
            <w:r w:rsidR="00000000" w:rsidRPr="00000000" w:rsidDel="00000000">
              <w:rPr>
                <w:rtl w:val="0"/>
              </w:rPr>
              <w:t xml:space="preserve">Nr. 651/2014</w:t>
            </w:r>
            <w:r w:rsidR="00000000" w:rsidRPr="00000000" w:rsidDel="00000000">
              <w:rPr>
                <w:rtl w:val="0"/>
              </w:rPr>
              <w:t xml:space="preserve"> </w:t>
            </w:r>
            <w:r w:rsidR="00000000" w:rsidRPr="00000000" w:rsidDel="00000000">
              <w:rPr>
                <w:rtl w:val="0"/>
              </w:rPr>
              <w:t xml:space="preserve"> 2.panta 139.a punktam atbilstošu pakalpojumu.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Par atbalsta piešķiršanas brīdi uzskata dienu, kad pieņemts atbalsta sniedzēja lēmums par projekta apstiprināšanu vai atzinums par nosacījumu izpildi atbilstoši regulas </w:t>
            </w:r>
            <w:r w:rsidR="00000000" w:rsidRPr="00000000" w:rsidDel="00000000">
              <w:rPr>
                <w:rtl w:val="0"/>
              </w:rPr>
              <w:t xml:space="preserve">Nr. 651/2014</w:t>
            </w:r>
            <w:r w:rsidR="00000000" w:rsidRPr="00000000" w:rsidDel="00000000">
              <w:rPr>
                <w:rtl w:val="0"/>
              </w:rPr>
              <w:t xml:space="preserve"> 2.panta 28.punktam. Lēmumu par atbalsta piešķiršanu pieņem līdz termiņam, kas noteikts regulas </w:t>
            </w:r>
            <w:r w:rsidR="00000000" w:rsidRPr="00000000" w:rsidDel="00000000">
              <w:rPr>
                <w:rtl w:val="0"/>
              </w:rPr>
              <w:t xml:space="preserve">regulas 615/2014</w:t>
            </w:r>
            <w:r w:rsidR="00000000" w:rsidRPr="00000000" w:rsidDel="00000000">
              <w:rPr>
                <w:rtl w:val="0"/>
              </w:rPr>
              <w:t xml:space="preserve"> 58.panta 4.punktā, ievērojot 59.pantu.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50. punkta pēdējo teikumu, nosakot, ka lēmumu par atbalsta piešķiršanu pieņem līdz termiņam, kas noteikts Komisijas 2014. gada 17. jūnija Regulas (ES) Nr. 651/2014, ar ko noteiktas atbalsta kategorijas atzīst par saderīgām ar iekšējo tirgu, piemērojot Līguma 107. un 108. pantu, 59. pantā, ievērojot 58. panta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46., 47., 49., 50. un 53. punktā norādīt korektu regulas numuru, aizstājot skaitļus “615/2014” ar skaitļiem “651/2014”.[AR1]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[AR1]Aicinu šādi papildināt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regulu Nr.651/2014 tehniski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Par atbalsta piešķiršanas brīdi uzskata dienu, kad pieņemts atbalsta sniedzēja lēmums par projekta apstiprināšanu vai atzinums par nosacījumu izpildi atbilstoši regulas </w:t>
            </w:r>
            <w:r w:rsidR="00000000" w:rsidRPr="00000000" w:rsidDel="00000000">
              <w:rPr>
                <w:rtl w:val="0"/>
              </w:rPr>
              <w:t xml:space="preserve">Nr. 651/2014</w:t>
            </w:r>
            <w:r w:rsidR="00000000" w:rsidRPr="00000000" w:rsidDel="00000000">
              <w:rPr>
                <w:rtl w:val="0"/>
              </w:rPr>
              <w:t xml:space="preserve"> 2.panta 28.punktam. Lēmumu par atbalsta piešķiršanu pieņem līdz termiņam, kas noteikts regulas </w:t>
            </w:r>
            <w:r w:rsidR="00000000" w:rsidRPr="00000000" w:rsidDel="00000000">
              <w:rPr>
                <w:rtl w:val="0"/>
              </w:rPr>
              <w:t xml:space="preserve">Nr. 651/2014</w:t>
            </w:r>
            <w:r w:rsidR="00000000" w:rsidRPr="00000000" w:rsidDel="00000000">
              <w:rPr>
                <w:rtl w:val="0"/>
              </w:rPr>
              <w:t xml:space="preserve"> </w:t>
            </w:r>
            <w:r w:rsidR="00000000" w:rsidRPr="00000000" w:rsidDel="00000000">
              <w:rPr>
                <w:rtl w:val="0"/>
              </w:rPr>
              <w:t xml:space="preserve">  59. pantā, ievērojot regulas </w:t>
            </w:r>
            <w:r w:rsidR="00000000" w:rsidRPr="00000000" w:rsidDel="00000000">
              <w:rPr>
                <w:rtl w:val="0"/>
              </w:rPr>
              <w:t xml:space="preserve">Nr.651/2014</w:t>
            </w:r>
            <w:r w:rsidR="00000000" w:rsidRPr="00000000" w:rsidDel="00000000">
              <w:rPr>
                <w:rtl w:val="0"/>
              </w:rPr>
              <w:t xml:space="preserve"> </w:t>
            </w:r>
            <w:r w:rsidR="00000000" w:rsidRPr="00000000" w:rsidDel="00000000">
              <w:rPr>
                <w:rtl w:val="0"/>
              </w:rPr>
              <w:t xml:space="preserve"> 58. panta 4.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Informāciju par regulas </w:t>
            </w:r>
            <w:r w:rsidR="00000000" w:rsidRPr="00000000" w:rsidDel="00000000">
              <w:rPr>
                <w:rtl w:val="0"/>
              </w:rPr>
              <w:t xml:space="preserve">Nr. 651/2014</w:t>
            </w:r>
            <w:r w:rsidR="00000000" w:rsidRPr="00000000" w:rsidDel="00000000">
              <w:rPr>
                <w:rtl w:val="0"/>
              </w:rPr>
              <w:t xml:space="preserve"> 52. panta ietvaros izsniegto atbalstu publicē atbilstoši regulas </w:t>
            </w:r>
            <w:r w:rsidR="00000000" w:rsidRPr="00000000" w:rsidDel="00000000">
              <w:rPr>
                <w:rtl w:val="0"/>
              </w:rPr>
              <w:t xml:space="preserve">Nr. 651/2014</w:t>
            </w:r>
            <w:r w:rsidR="00000000" w:rsidRPr="00000000" w:rsidDel="00000000">
              <w:rPr>
                <w:rtl w:val="0"/>
              </w:rPr>
              <w:t xml:space="preserve"> 9. panta 1. un 4. punktā noteiktajām publicitātes pasākumu prasībām saskaņā ar normatīvajiem aktiem par kārtību, kādā publicē informāciju par sniegto valsts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52. punktu, nosakot, kura būs tā iestāde (sadarbības iestāde vai Satiksmes ministrija), kas veiks Komisijas regulas Nr. 651/2014 9. panta 1. un 4. punktā noteikto prasību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Informāciju par regulas </w:t>
            </w:r>
            <w:r w:rsidR="00000000" w:rsidRPr="00000000" w:rsidDel="00000000">
              <w:rPr>
                <w:rtl w:val="0"/>
              </w:rPr>
              <w:t xml:space="preserve">Nr. 651/2014</w:t>
            </w:r>
            <w:r w:rsidR="00000000" w:rsidRPr="00000000" w:rsidDel="00000000">
              <w:rPr>
                <w:rtl w:val="0"/>
              </w:rPr>
              <w:t xml:space="preserve"> 52. panta ietvaros izsniegto atbalstu sadarbības iestāde publicē atbilstoši regulas </w:t>
            </w:r>
            <w:r w:rsidR="00000000" w:rsidRPr="00000000" w:rsidDel="00000000">
              <w:rPr>
                <w:rtl w:val="0"/>
              </w:rPr>
              <w:t xml:space="preserve">Nr. 651/2014</w:t>
            </w:r>
            <w:r w:rsidR="00000000" w:rsidRPr="00000000" w:rsidDel="00000000">
              <w:rPr>
                <w:rtl w:val="0"/>
              </w:rPr>
              <w:t xml:space="preserve"> 9. panta 1. un 4. punktā noteiktajām publicitātes pasākumu prasībām saskaņā ar normatīvajiem aktiem par kārtību, kādā publicē informāciju par sniegto valsts atbalstu un piešķir un anulē elektroniskās sistēmas lietošanas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ir pārkāpti regulas </w:t>
            </w:r>
            <w:r w:rsidR="00000000" w:rsidRPr="00000000" w:rsidDel="00000000">
              <w:rPr>
                <w:rtl w:val="0"/>
              </w:rPr>
              <w:t xml:space="preserve">Nr. 651/2014</w:t>
            </w:r>
            <w:r w:rsidR="00000000" w:rsidRPr="00000000" w:rsidDel="00000000">
              <w:rPr>
                <w:rtl w:val="0"/>
              </w:rPr>
              <w:t xml:space="preserve"> nosacījumi, atbalsta saņēmējam un sadarbības partnerim ir pienākums atbalsta sniedzējam atmaksāt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 IV vai V nodaļas</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vienotu terminoloģiju, aicinām vārdu "atbalsta saņēmējam" vietā lietot vārdus: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ir pārkāpti regulas </w:t>
            </w:r>
            <w:r w:rsidR="00000000" w:rsidRPr="00000000" w:rsidDel="00000000">
              <w:rPr>
                <w:rtl w:val="0"/>
              </w:rPr>
              <w:t xml:space="preserve">Nr. 651/2014</w:t>
            </w:r>
            <w:r w:rsidR="00000000" w:rsidRPr="00000000" w:rsidDel="00000000">
              <w:rPr>
                <w:rtl w:val="0"/>
              </w:rPr>
              <w:t xml:space="preserve"> nosacījumi, finansējuma saņēmējam un sadarbības partnerim ir pienākums atbalsta sniedzējam atmaksāt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 IV vai V nodaļas</w:t>
            </w:r>
            <w:r w:rsidR="00000000" w:rsidRPr="00000000" w:rsidDel="00000000">
              <w:rPr>
                <w:rtl w:val="0"/>
              </w:rPr>
              <w:t xml:space="preserve">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attiecas tikai uz vienu no elektronisko sakaru pakalpojumu veidiem – interneta piekļuves pakalpojumu, Regulators aicina precizēt gan noteikumu projektu (tai skaitā 3.punktu), gan tā anotāciju un, kur tas nepieciešams, terminu “elektronisko sakaru pakalpojums” aizstāt ar terminu “interneta piekļuves pakalpojums”.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“elektronisko sakaru pakalpojums” aizstāt ar terminu “interneta piekļuves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“elektronisko sakaru pakalpojums” aizstāts ar terminu “interneta piekļuves pakalpojums” noteikumu projekta 19.3.apakšpunktā.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atbilstību atklātā projektu konkursa pretendentu atbilstību Eiropas Savienības kohēzijas politikas programmai 2021.–2027. gadam, noteikumu projekta 20.punktā ir noteikts, ka projekta iesniedzējs ir elektronisko sakaru komersants, kuram ir tiesības sniegt elektronisko sakaru pakalpojumus un kurš ir nodrošinājis elektronisko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terminoloģija, kur attiecināms, lietojot terminu “interneta piekļuves pakalpojums”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tā apzīmēšanai anotācijā minēta gan abreviatūra “SPRK”, gan vārds “Regulators”. Regulators aicina lietot tikai vienu no minētajiem apzīmējumiem.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saprotamu un precīzi definētu informācijas uztveri, lūdzam anotācijas sadaļā "Risinājuma apraksts" teikumu "Tādējādi galalietotājam jānodrošina iespēja abonēt elektronisko sakaru pakalpojumu 300 Mbit/s ne vēlāk kā mēneša laikā pēc tam, kad patērētājs paziņojis par šādu izvēli" papildināt ar formulējumu "ar lejupielādes ātrumu vismaz".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galalietotājam jānodrošina iespēja abonēt (izmantot) interneta piekļuves pakalpojumu ar lejuplādes ātrumu vismaz 300 Mbit/s ne vēlāk kā mēneša laikā pēc tam, kad patērētājs paziņojis par šādu izvēli.”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katras intervences kategorijas koda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“Cita informācija” iekļauta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finansējuma sadalījums pa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5 546 250 euro intervences kods 33 - IKT: ļoti augstas veiktspējas platjoslas tīkls (daudzdzīvokļu  ēkās – piekļuve/vietējā abonentlīnija, kas veiktspējas ziņā ir ekvivalenta optiskās šķiedras kabelim, kurš ierīkots līdz sadales punktam apkalpojamajā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1 848 751 euro intervences kods 34 - IKT: ļoti augstas veiktspējas platjoslas tīkls (atsevišķās mājās vai uzņēmumu telpās – piekļuve/vietējā abonentlīnija, kas veiktspējas ziņā ir ekvivalenta optiskās šķiedras kabelim, kurš ierīkots līdz sadales punktam apkalpojamajā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attiecīgās nozares/ jomas pārstāvošu biedrību, nodibinājumu, nevalstisko organizāciju iesaisti MK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nevalstiskās organizācijas noteikumu projekta izstrādē netika iesaistītas. Vienlaikus noteikumu projektā ir iekļauti 1.4.1.1. pasākuma atbalsta nosacījumi, kas izstrādāti Satiksmes ministrijas izveidotajā “Darba grupā valsts atbalsta programmu nosacījumu izstrādei, īstenošanai un uzraudzībai elektronisko sakaru tīklu, tostarp “pēdējās jūdzes” infrastruktūras attīstībai “, kurā ietilpst Latvijas Informācijas un komunikācijas asociācijas, Latvijas Interneta asociācijas un Latvijas Telekomunikāciju asociācijas pāstāvji, kā arī LPS un plānošanas reģionu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 informācija iekļauta anotācijas 6.1.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paredz ieguldījumus infrastruktūrā , anotācijā ir janorāda, ka ieguldījumi plānoti saskaņā ar Jauno Eiropas Bauhaus iniciatīvu.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tīkli kā infrastruktūra nav minēta Eiropas Komisijas dienestu darba dokumentā “New European Bauhaus Investment Guidelines”. https://new-european-bauhaus.europa.eu/get-involved/neb-investment-guidelines_en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pasākumam nav konstatējama konkrēta saistība ar šīs iniciatīvas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2.1. sadaļas apakšsadaļu "Juridiskās personas" un atbilstošo apakšsadaļu "Ietekmes apraksts", norādot, ka Satiksmes ministrija pildīs atbildīgās iestādes funkcijas, elektronisko sakaru komersanti pildīs finansējuma saņēmēja funkcijas un, ja attiecināms, sadarbības partnera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personām noteikumu projekts nemaina administratīvo slogu un funkcijas. Anotācijas 2.sadaļa papildināta ar informāciju par ietekmi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un vienotu informāciju par ātrgaitas interneta pakalpojumu specifiku, lūdzam anotācijas sadaļā "Ietekmes apraksts" aizstāt formulējumu "augšuplādes ātrumu vismaz 300 Mb/s" ar "lejuplādes ātrumu vismaz 300 Mb/s". Šī izmaiņa atbilst arī sadaļā "Rezultāti" norādītajai informācijai, ka "Pasākuma īstenošanas rezultātā tiks izbūvēta VHCN elektronisko sakaru tīkla infrastruktūra, kas nodrošinās galalietotājiem vismaz 300 Mb/s lejuplādes ātrumu". Šāds precizējums veicinās vienotu un precīzu informācijas atspoguļojumu visās dokumenta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521 uzņēmumam teritorijās, kurās šobrīd nav pieejami platjoslas piekļuves pakalpojumi ar datu pārraides ātrumu vismaz 100 Mb/s (VHCN tīklu baltās teritorijas), tiks nodrošināta piekļuve platjoslas pakalpojumam ar lejuplādes ātrumu vismaz 300 Mb/s.”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projektu iesniedzēji netiktu ierobežoti izvēlēties tikai lauku teritorijas un netiktu sniegta neatbilstoša informācija pasākuma ietvaros, lūdzam anotācijas sadaļā "Ietekmes apraksts" precizēt formulējumu "(..) 521 uzņēmumam lauku teritorijās tiks nodrošināta (..)", kas neatbilst pasākuma nosacījumiem, aizstājot to ar "teritorijās, kurās šobrīd nav pieejami platjoslas piekļuves pakalpojumi ar datu pārraides ātrumu vismaz 100 Mb/s (VHCN tīklu baltās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ir nepieciešams, jo "baltās adreses" ietver arī teritorijas ārpus lauku teritorijām, tostarp pat valstspilsētās. Tādējādi tiks nodrošināta atbilstoša un precīza informācija par pasākuma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521 uzņēmumam teritorijās, kurās šobrīd nav pieejami platjoslas piekļuves pakalpojumi ar datu pārraides ātrumu vismaz 100 Mb/s (VHCN tīklu baltās teritorijas), tiks nodrošināta piekļuve platjoslas pakalpojumam ar lejuplādes ātrumu vismaz 300 Mb/s.”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anotācijas 3.sadaļas "Tiesību akta projekta ietekme uz valsts budžetu un pašvaldību budžetiem" 6.punktā "Detalizēts ieņēmumu un izdevumu aprēķins (ja nepieciešams, detalizētu ieņēmumu un izdevumu aprēķinu var pievienot anotācijas (ex-ante) pielikumā)" jāizlabo pieejamais attiecināmais privātais finansējums uz 1 099 169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ir paredzēts elastības finansējums, kopējais pieejamais attiecināmais finansējums līdz 2025. gada 31. decembrim, lai slēgtu līgumus par projektu īstenošanu, ir ne mazāks kā 7 327 790 euro, tai skaitā Eiropas Reģionālās attīstības fonda finansējums – 6 228 621 euro un privātais līdzfinansējums – ne mazāks kā 1 099 169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SM uzmanību uz to, ka sadaļā  "Cita informācija"  ir kļūdaini norādīta 33 intervences koda summa, jo izziņas 52.punktā tā ir 5 546 250 euro apmērā, tomēr, pat ņemot vērā augstākminēto summu, kopsumma sanāk 7 395 001 euro, kas par 1 euro nesakrīt ar pasākumam pieejamo Eiropas Reģionālās attīstības fonda finansējumu 7395 000 euro. Lūdzam veikt atbilstošu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norādot katras intervences kategorijas koda finansējuma apjomu pasākumu kārtu līmenī, lai nodrošinātu korektu un savlaicīgu datu ievadi Kohēzijas politikas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 un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finansējuma sadalījums pa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kods 33 - IKT: ļoti augstas veiktspējas platjoslas tīkls (daudzdzīvokļu  ēkās – piekļuve/vietējā abonentlīnija, kas veiktspējas ziņā ir ekvivalenta optiskās šķiedras kabelim, kurš ierīkots līdz sadales punktam apkalpojamajā vietā) 5 546 250 euro,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kārtas atlasē 4 671 466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kārtas atlasē 874 784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kods 34 - IKT: ļoti augstas veiktspējas platjoslas tīkls (atsevišķās mājās vai uzņēmumu telpās – piekļuve/vietējā abonentlīnija, kas veiktspējas ziņā ir ekvivalenta optiskās šķiedras kabelim, kurš ierīkots līdz sadales punktam apkalpojamajā vietā) 1 848 750 euro,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kārtas atlasē 1 557 155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kārtas atlasē 291 595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6.1. sadaļas apakšsadaļā "Valsts un pašvaldību institūcijas" norādi uz Finanšu ministriju, ņemot vērā, ka tā nav piedalījusies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6.1. sadaļā ir sniegta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iekļauti nosacījumi, kas izstrādāti Satiksmes ministrijas izveidotajā “Darba grupā valsts atbalsta programmu nosacījumu izstrādei, īstenošanai un uzraudzībai elektronisko sakaru tīklu, tostarp “pēdējās jūdzes” infrastruktūras attīstībai “, kurā ietilpst Latvijas Informācijas un komunikācijas asociācijas, Latvijas Interneta asociācijas un Latvijas Telekomunikāciju asociācijas pāstāvji, kā arī Latvijas Pašvaldību savienības un plānošanas reģionu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24-TA-593</w:t>
    </w:r>
    <w:r>
      <w:br/>
    </w:r>
    <w:r w:rsidR="00000000" w:rsidRPr="00000000" w:rsidDel="00000000">
      <w:rPr>
        <w:rtl w:val="0"/>
      </w:rPr>
      <w:t xml:space="preserve">12.02.2025. 14.49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24-TA-593</w:t>
    </w:r>
    <w:r>
      <w:br/>
    </w:r>
    <w:r w:rsidR="00000000" w:rsidRPr="00000000" w:rsidDel="00000000">
      <w:rPr>
        <w:rtl w:val="0"/>
      </w:rPr>
      <w:t xml:space="preserve">12.02.2025. 14.49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Izziņa_24-TA-593.docx</dc:title>
</cp:coreProperties>
</file>

<file path=docProps/custom.xml><?xml version="1.0" encoding="utf-8"?>
<Properties xmlns="http://schemas.openxmlformats.org/officeDocument/2006/custom-properties" xmlns:vt="http://schemas.openxmlformats.org/officeDocument/2006/docPropsVTypes"/>
</file>