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CA0BD" w14:textId="77777777" w:rsidR="00826C38" w:rsidRPr="00DC065A" w:rsidRDefault="00826C38" w:rsidP="00826C38">
      <w:pPr>
        <w:rPr>
          <w:b/>
          <w:i/>
          <w:szCs w:val="24"/>
        </w:rPr>
      </w:pPr>
      <w:r w:rsidRPr="00DC065A">
        <w:rPr>
          <w:sz w:val="26"/>
          <w:szCs w:val="26"/>
        </w:rPr>
        <w:t>Budžeta un finanšu (nodokļu) komisija</w:t>
      </w:r>
      <w:r w:rsidRPr="00DC065A">
        <w:rPr>
          <w:sz w:val="26"/>
          <w:szCs w:val="26"/>
        </w:rPr>
        <w:tab/>
      </w:r>
    </w:p>
    <w:p w14:paraId="492F59B0" w14:textId="77777777" w:rsidR="00826C38" w:rsidRPr="00DC065A" w:rsidRDefault="00826C38" w:rsidP="00826C38">
      <w:pPr>
        <w:jc w:val="right"/>
        <w:rPr>
          <w:sz w:val="26"/>
          <w:szCs w:val="26"/>
        </w:rPr>
      </w:pPr>
      <w:r w:rsidRPr="00DC065A">
        <w:rPr>
          <w:sz w:val="26"/>
          <w:szCs w:val="26"/>
        </w:rPr>
        <w:t>Likumprojekts (steidzams) otrajam lasījumam</w:t>
      </w:r>
    </w:p>
    <w:p w14:paraId="3890857C" w14:textId="77777777" w:rsidR="00826C38" w:rsidRPr="00DC065A" w:rsidRDefault="00826C38" w:rsidP="00826C38">
      <w:pPr>
        <w:pStyle w:val="naisvisr"/>
        <w:spacing w:before="0" w:beforeAutospacing="0" w:after="0" w:afterAutospacing="0"/>
        <w:jc w:val="center"/>
        <w:rPr>
          <w:b/>
          <w:sz w:val="26"/>
          <w:szCs w:val="26"/>
        </w:rPr>
      </w:pPr>
    </w:p>
    <w:p w14:paraId="472F05E7" w14:textId="7BEAEB72" w:rsidR="00826C38" w:rsidRPr="00DC065A" w:rsidRDefault="00826C38" w:rsidP="00826C38">
      <w:pPr>
        <w:pStyle w:val="paragraphheader"/>
        <w:spacing w:before="0" w:after="0"/>
        <w:contextualSpacing w:val="0"/>
        <w:jc w:val="center"/>
        <w:rPr>
          <w:b/>
          <w:color w:val="auto"/>
        </w:rPr>
      </w:pPr>
      <w:r w:rsidRPr="00DC065A">
        <w:rPr>
          <w:b/>
          <w:color w:val="auto"/>
        </w:rPr>
        <w:t>Grozījumi likumā “Par sociālo drošību”</w:t>
      </w:r>
    </w:p>
    <w:p w14:paraId="781B47AD" w14:textId="296E66AA" w:rsidR="00826C38" w:rsidRPr="00DC065A" w:rsidRDefault="00826C38" w:rsidP="00826C38">
      <w:pPr>
        <w:jc w:val="center"/>
        <w:rPr>
          <w:rStyle w:val="Emphasis"/>
          <w:b/>
          <w:sz w:val="26"/>
          <w:szCs w:val="26"/>
        </w:rPr>
      </w:pPr>
      <w:r w:rsidRPr="00DC065A">
        <w:rPr>
          <w:rStyle w:val="Emphasis"/>
          <w:b/>
          <w:sz w:val="26"/>
          <w:szCs w:val="26"/>
        </w:rPr>
        <w:t>(Nr.748/Lp14)</w:t>
      </w:r>
    </w:p>
    <w:p w14:paraId="4999A458" w14:textId="77777777" w:rsidR="00826C38" w:rsidRPr="00DC065A" w:rsidRDefault="00826C38" w:rsidP="00826C38">
      <w:pPr>
        <w:jc w:val="center"/>
        <w:rPr>
          <w:rStyle w:val="Emphasis"/>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01"/>
        <w:gridCol w:w="3554"/>
        <w:gridCol w:w="566"/>
        <w:gridCol w:w="3526"/>
        <w:gridCol w:w="1397"/>
        <w:gridCol w:w="1404"/>
      </w:tblGrid>
      <w:tr w:rsidR="00487712" w:rsidRPr="00DC065A" w14:paraId="74CF33FB" w14:textId="77777777" w:rsidTr="00AD7FA9">
        <w:tc>
          <w:tcPr>
            <w:tcW w:w="3501" w:type="dxa"/>
            <w:shd w:val="clear" w:color="auto" w:fill="auto"/>
            <w:vAlign w:val="center"/>
          </w:tcPr>
          <w:p w14:paraId="26429E69" w14:textId="77777777" w:rsidR="00826C38" w:rsidRPr="00DC065A" w:rsidRDefault="00826C38" w:rsidP="00AD7FA9">
            <w:pPr>
              <w:jc w:val="center"/>
              <w:rPr>
                <w:b/>
                <w:bCs/>
                <w:iCs/>
                <w:szCs w:val="24"/>
              </w:rPr>
            </w:pPr>
            <w:r w:rsidRPr="00DC065A">
              <w:rPr>
                <w:b/>
                <w:bCs/>
                <w:iCs/>
                <w:szCs w:val="24"/>
              </w:rPr>
              <w:t>Spēkā esošā redakcija</w:t>
            </w:r>
          </w:p>
        </w:tc>
        <w:tc>
          <w:tcPr>
            <w:tcW w:w="3554" w:type="dxa"/>
            <w:shd w:val="clear" w:color="auto" w:fill="auto"/>
            <w:vAlign w:val="center"/>
          </w:tcPr>
          <w:p w14:paraId="64C3DED6" w14:textId="77777777" w:rsidR="00826C38" w:rsidRPr="00DC065A" w:rsidRDefault="00826C38" w:rsidP="00AD7FA9">
            <w:pPr>
              <w:jc w:val="center"/>
              <w:rPr>
                <w:b/>
                <w:szCs w:val="24"/>
              </w:rPr>
            </w:pPr>
            <w:r w:rsidRPr="00DC065A">
              <w:rPr>
                <w:b/>
                <w:szCs w:val="24"/>
              </w:rPr>
              <w:t>Pirmā lasījuma redakcija</w:t>
            </w:r>
          </w:p>
        </w:tc>
        <w:tc>
          <w:tcPr>
            <w:tcW w:w="566" w:type="dxa"/>
            <w:vAlign w:val="center"/>
          </w:tcPr>
          <w:p w14:paraId="49489687" w14:textId="77777777" w:rsidR="00826C38" w:rsidRPr="00DC065A" w:rsidRDefault="00826C38" w:rsidP="00AD7FA9">
            <w:pPr>
              <w:jc w:val="center"/>
              <w:rPr>
                <w:b/>
                <w:szCs w:val="24"/>
              </w:rPr>
            </w:pPr>
            <w:r w:rsidRPr="00DC065A">
              <w:rPr>
                <w:b/>
                <w:szCs w:val="24"/>
              </w:rPr>
              <w:t>Nr.</w:t>
            </w:r>
          </w:p>
        </w:tc>
        <w:tc>
          <w:tcPr>
            <w:tcW w:w="3526" w:type="dxa"/>
            <w:vAlign w:val="center"/>
          </w:tcPr>
          <w:p w14:paraId="00C38A45" w14:textId="77777777" w:rsidR="00826C38" w:rsidRPr="00DC065A" w:rsidRDefault="00826C38" w:rsidP="00AD7FA9">
            <w:pPr>
              <w:jc w:val="center"/>
              <w:rPr>
                <w:b/>
                <w:szCs w:val="24"/>
              </w:rPr>
            </w:pPr>
            <w:r w:rsidRPr="00DC065A">
              <w:rPr>
                <w:b/>
                <w:szCs w:val="24"/>
              </w:rPr>
              <w:t>Priekšlikumi</w:t>
            </w:r>
          </w:p>
          <w:p w14:paraId="689C28A5" w14:textId="449BAC0F" w:rsidR="00826C38" w:rsidRPr="00DC065A" w:rsidRDefault="00826C38" w:rsidP="00AD7FA9">
            <w:pPr>
              <w:jc w:val="center"/>
              <w:rPr>
                <w:b/>
                <w:szCs w:val="24"/>
              </w:rPr>
            </w:pPr>
            <w:r w:rsidRPr="00DC065A">
              <w:rPr>
                <w:b/>
                <w:szCs w:val="24"/>
              </w:rPr>
              <w:t>(</w:t>
            </w:r>
            <w:r w:rsidR="007C2E2C">
              <w:rPr>
                <w:b/>
                <w:szCs w:val="24"/>
              </w:rPr>
              <w:t>1</w:t>
            </w:r>
            <w:r w:rsidRPr="00DC065A">
              <w:rPr>
                <w:b/>
                <w:szCs w:val="24"/>
              </w:rPr>
              <w:t>)</w:t>
            </w:r>
          </w:p>
        </w:tc>
        <w:tc>
          <w:tcPr>
            <w:tcW w:w="1397" w:type="dxa"/>
            <w:vAlign w:val="center"/>
          </w:tcPr>
          <w:p w14:paraId="49D028E5" w14:textId="77777777" w:rsidR="00826C38" w:rsidRPr="00DC065A" w:rsidRDefault="00826C38" w:rsidP="00AD7FA9">
            <w:pPr>
              <w:jc w:val="center"/>
              <w:rPr>
                <w:b/>
                <w:szCs w:val="24"/>
              </w:rPr>
            </w:pPr>
            <w:r w:rsidRPr="00DC065A">
              <w:rPr>
                <w:b/>
                <w:szCs w:val="24"/>
              </w:rPr>
              <w:t>Ministru kabineta atzinums</w:t>
            </w:r>
          </w:p>
        </w:tc>
        <w:tc>
          <w:tcPr>
            <w:tcW w:w="1404" w:type="dxa"/>
            <w:vAlign w:val="center"/>
          </w:tcPr>
          <w:p w14:paraId="51BDAE29" w14:textId="77777777" w:rsidR="00826C38" w:rsidRPr="00DC065A" w:rsidRDefault="00826C38" w:rsidP="00AD7FA9">
            <w:pPr>
              <w:jc w:val="center"/>
              <w:rPr>
                <w:b/>
                <w:szCs w:val="24"/>
              </w:rPr>
            </w:pPr>
            <w:r w:rsidRPr="00DC065A">
              <w:rPr>
                <w:b/>
                <w:szCs w:val="24"/>
              </w:rPr>
              <w:t>Komisijas atzinums</w:t>
            </w:r>
          </w:p>
        </w:tc>
      </w:tr>
      <w:tr w:rsidR="00487712" w:rsidRPr="00DC065A" w14:paraId="6B98C3AB" w14:textId="77777777" w:rsidTr="00835788">
        <w:tc>
          <w:tcPr>
            <w:tcW w:w="3501" w:type="dxa"/>
            <w:shd w:val="clear" w:color="auto" w:fill="auto"/>
            <w:vAlign w:val="center"/>
          </w:tcPr>
          <w:p w14:paraId="4C0A2343" w14:textId="77777777" w:rsidR="00826C38" w:rsidRPr="00DC065A" w:rsidRDefault="00826C38" w:rsidP="00AD7FA9">
            <w:pPr>
              <w:jc w:val="center"/>
              <w:rPr>
                <w:b/>
                <w:bCs/>
                <w:iCs/>
                <w:szCs w:val="24"/>
              </w:rPr>
            </w:pPr>
          </w:p>
        </w:tc>
        <w:tc>
          <w:tcPr>
            <w:tcW w:w="3554" w:type="dxa"/>
            <w:shd w:val="clear" w:color="auto" w:fill="auto"/>
          </w:tcPr>
          <w:p w14:paraId="3BF79D94" w14:textId="42FB26DE" w:rsidR="00826C38" w:rsidRPr="00DC065A" w:rsidRDefault="00826C38" w:rsidP="00DC065A">
            <w:pPr>
              <w:pStyle w:val="paragraph"/>
              <w:ind w:firstLine="567"/>
              <w:contextualSpacing w:val="0"/>
              <w:rPr>
                <w:color w:val="auto"/>
                <w:sz w:val="22"/>
                <w:szCs w:val="22"/>
              </w:rPr>
            </w:pPr>
            <w:r w:rsidRPr="00DC065A">
              <w:rPr>
                <w:color w:val="auto"/>
                <w:sz w:val="22"/>
                <w:szCs w:val="22"/>
              </w:rPr>
              <w:t>Izdarīt likumā "Par sociālo drošību" (Latvijas Republikas Saeimas un Ministru Kabineta Ziņotājs, 1995, 21. nr.; 2006, 1. nr.; 2008, 8. nr.; 2015, 222. nr.; 2020, 240.A nr.; 2023, 57.A nr.) šādu grozījumu:</w:t>
            </w:r>
          </w:p>
        </w:tc>
        <w:tc>
          <w:tcPr>
            <w:tcW w:w="566" w:type="dxa"/>
          </w:tcPr>
          <w:p w14:paraId="2565013F" w14:textId="4F171C0B" w:rsidR="00826C38" w:rsidRPr="007C2E2C" w:rsidRDefault="007C2E2C" w:rsidP="007C2E2C">
            <w:pPr>
              <w:jc w:val="center"/>
              <w:rPr>
                <w:b/>
                <w:sz w:val="22"/>
              </w:rPr>
            </w:pPr>
            <w:r>
              <w:rPr>
                <w:b/>
                <w:sz w:val="22"/>
              </w:rPr>
              <w:t>1</w:t>
            </w:r>
          </w:p>
        </w:tc>
        <w:tc>
          <w:tcPr>
            <w:tcW w:w="3526" w:type="dxa"/>
          </w:tcPr>
          <w:p w14:paraId="7529B9EA" w14:textId="77777777" w:rsidR="00826C38" w:rsidRDefault="00DC065A" w:rsidP="00DC065A">
            <w:pPr>
              <w:ind w:firstLine="567"/>
              <w:jc w:val="both"/>
              <w:rPr>
                <w:b/>
                <w:sz w:val="22"/>
                <w:u w:val="single"/>
              </w:rPr>
            </w:pPr>
            <w:r w:rsidRPr="00DC065A">
              <w:rPr>
                <w:b/>
                <w:sz w:val="22"/>
                <w:u w:val="single"/>
              </w:rPr>
              <w:t>Juridiskais birojs</w:t>
            </w:r>
          </w:p>
          <w:p w14:paraId="77DB0296" w14:textId="77777777" w:rsidR="00DC065A" w:rsidRPr="00136F5F" w:rsidRDefault="00DC065A" w:rsidP="00DC065A">
            <w:pPr>
              <w:ind w:firstLine="567"/>
              <w:jc w:val="both"/>
              <w:rPr>
                <w:i/>
                <w:iCs/>
                <w:sz w:val="22"/>
              </w:rPr>
            </w:pPr>
            <w:r w:rsidRPr="00136F5F">
              <w:rPr>
                <w:i/>
                <w:iCs/>
                <w:sz w:val="22"/>
              </w:rPr>
              <w:t>Saeimas Juridiskais birojs izskatīja likumprojektu “Grozījumi likumā “Par sociālo drošību”” </w:t>
            </w:r>
            <w:r w:rsidRPr="00136F5F">
              <w:rPr>
                <w:bCs/>
                <w:i/>
                <w:iCs/>
                <w:sz w:val="22"/>
              </w:rPr>
              <w:t>(</w:t>
            </w:r>
            <w:r w:rsidRPr="00136F5F">
              <w:rPr>
                <w:i/>
                <w:iCs/>
                <w:sz w:val="22"/>
              </w:rPr>
              <w:t>Nr. 748/Lp14) (turpmāk – likumprojekts) un otrajam lasījumam sniedz šādu viedokli:</w:t>
            </w:r>
          </w:p>
          <w:p w14:paraId="27FF3EF6" w14:textId="77777777" w:rsidR="00DC065A" w:rsidRPr="00136F5F" w:rsidRDefault="00DC065A" w:rsidP="00DC065A">
            <w:pPr>
              <w:ind w:firstLine="567"/>
              <w:jc w:val="both"/>
              <w:rPr>
                <w:i/>
                <w:iCs/>
                <w:sz w:val="22"/>
              </w:rPr>
            </w:pPr>
            <w:r w:rsidRPr="00136F5F">
              <w:rPr>
                <w:i/>
                <w:iCs/>
                <w:sz w:val="22"/>
              </w:rPr>
              <w:t>Likumprojektā piedāvātais grozījums ir vērsts uz to, lai ievērotu Satversmes tiesas 2023. gada 5. oktobra spriedumā lietā Nr. 2022</w:t>
            </w:r>
            <w:r w:rsidRPr="00136F5F">
              <w:rPr>
                <w:i/>
                <w:iCs/>
                <w:sz w:val="22"/>
              </w:rPr>
              <w:noBreakHyphen/>
              <w:t>34</w:t>
            </w:r>
            <w:r w:rsidRPr="00136F5F">
              <w:rPr>
                <w:i/>
                <w:iCs/>
                <w:sz w:val="22"/>
              </w:rPr>
              <w:noBreakHyphen/>
              <w:t xml:space="preserve">01 noteikto (sk. likumprojekta anotācijas 1.2. sadaļu). Šajā lietā Satversmes tiesa atzina, ka apstrīdētajās normās ietvertā minimālo ienākumu sliekšņa (20 procenti (noapaļots līdz pilniem euro) no Centrālās statistikas pārvaldes tīmekļvietnē publicētās minimālo ienākumu mediānas uz vienu ekvivalento patērētāju mēnesī) noteikšanas kārtība kopā ar citiem sociālās drošības sistēmas </w:t>
            </w:r>
            <w:r w:rsidRPr="00136F5F">
              <w:rPr>
                <w:i/>
                <w:iCs/>
                <w:sz w:val="22"/>
              </w:rPr>
              <w:lastRenderedPageBreak/>
              <w:t>pasākumiem nerada ikvienai trūcīgai personai iespēju veidot cilvēka cieņai atbilstošu dzīvi, jo šādai personai nav iespējas nosegt pat izdevumus par pārtiku un apģērbu.</w:t>
            </w:r>
          </w:p>
          <w:p w14:paraId="061F309F" w14:textId="77777777" w:rsidR="00DC065A" w:rsidRPr="00136F5F" w:rsidRDefault="00DC065A" w:rsidP="00DC065A">
            <w:pPr>
              <w:ind w:firstLine="567"/>
              <w:jc w:val="both"/>
              <w:rPr>
                <w:i/>
                <w:iCs/>
                <w:sz w:val="22"/>
              </w:rPr>
            </w:pPr>
            <w:r w:rsidRPr="00136F5F">
              <w:rPr>
                <w:i/>
                <w:iCs/>
                <w:sz w:val="22"/>
              </w:rPr>
              <w:t>Konkrētāk attiecībā uz pārtikas vajadzību apmierināšanu Satversmes tiesa norādīja, ka šādas izmaksas 2023. gadā vienam pieaugušajam bija aptuveni 211 euro, bet 15</w:t>
            </w:r>
            <w:r w:rsidRPr="00136F5F">
              <w:rPr>
                <w:i/>
                <w:iCs/>
                <w:sz w:val="22"/>
              </w:rPr>
              <w:noBreakHyphen/>
              <w:t>18 gadus vecam bērnam – 215 euro mēnesī. Satversmes tiesa arī atzina, ka garantēto minimālo ienākumu pabalsts kopā ar pārtikas komplektiem nesasniedz vienas personas pārtikas groza izmaksas, bet zupas virtuves un brīvpusdienas izglītojamiem nav pieejamas ikvienai trūcīgai personai (sk. Satversmes tiesa 2023. gada 5. oktobra sprieduma lietā Nr. 2022</w:t>
            </w:r>
            <w:r w:rsidRPr="00136F5F">
              <w:rPr>
                <w:i/>
                <w:iCs/>
                <w:sz w:val="22"/>
              </w:rPr>
              <w:noBreakHyphen/>
              <w:t>34</w:t>
            </w:r>
            <w:r w:rsidRPr="00136F5F">
              <w:rPr>
                <w:i/>
                <w:iCs/>
                <w:sz w:val="22"/>
              </w:rPr>
              <w:noBreakHyphen/>
              <w:t>01 17.2.1. punktu).</w:t>
            </w:r>
          </w:p>
          <w:p w14:paraId="759901A6" w14:textId="77777777" w:rsidR="00DC065A" w:rsidRPr="00136F5F" w:rsidRDefault="00DC065A" w:rsidP="00DC065A">
            <w:pPr>
              <w:ind w:firstLine="567"/>
              <w:jc w:val="both"/>
              <w:rPr>
                <w:i/>
                <w:iCs/>
                <w:sz w:val="22"/>
              </w:rPr>
            </w:pPr>
            <w:r w:rsidRPr="00136F5F">
              <w:rPr>
                <w:i/>
                <w:iCs/>
                <w:sz w:val="22"/>
              </w:rPr>
              <w:t>Lai ievērotu Satversmes tiesas spriedumā lietā Nr. 2022</w:t>
            </w:r>
            <w:r w:rsidRPr="00136F5F">
              <w:rPr>
                <w:i/>
                <w:iCs/>
                <w:sz w:val="22"/>
              </w:rPr>
              <w:noBreakHyphen/>
              <w:t>34</w:t>
            </w:r>
            <w:r w:rsidRPr="00136F5F">
              <w:rPr>
                <w:i/>
                <w:iCs/>
                <w:sz w:val="22"/>
              </w:rPr>
              <w:noBreakHyphen/>
              <w:t xml:space="preserve">01 noteikto likumprojektā piedāvāts esošo minimālo ienākumu slieksni 20 procentu apmērā no Centrālās statistikas pārvaldes tīmekļvietnē publicētās minimālo ienākumu mediānas uz vienu ekvivalento patērētāju mēnesī slieksni palielināt līdz 22 procentu slieksnim (izsakot </w:t>
            </w:r>
            <w:r w:rsidRPr="00136F5F">
              <w:rPr>
                <w:i/>
                <w:iCs/>
                <w:sz w:val="22"/>
              </w:rPr>
              <w:lastRenderedPageBreak/>
              <w:t>absolūtos skaitļos 2025. gadā 20 procenti ir 151 euro, 22 procenti – 166 euro).</w:t>
            </w:r>
          </w:p>
          <w:p w14:paraId="09E13EDC" w14:textId="77777777" w:rsidR="00DC065A" w:rsidRPr="00136F5F" w:rsidRDefault="00DC065A" w:rsidP="00DC065A">
            <w:pPr>
              <w:ind w:firstLine="567"/>
              <w:jc w:val="both"/>
              <w:rPr>
                <w:i/>
                <w:iCs/>
                <w:sz w:val="22"/>
              </w:rPr>
            </w:pPr>
            <w:r w:rsidRPr="00136F5F">
              <w:rPr>
                <w:i/>
                <w:iCs/>
                <w:sz w:val="22"/>
              </w:rPr>
              <w:t>Vēršam uzmanību, ka ne likumprojektā piedāvātais risinājums pats par sevi, ne likumprojekta anotācijā sniegtais pamatojums neļauj likumdevējam pārliecināties par to, ka likumprojektā piedāvātais grozījums novērstu Satversmes tiesas norādītos trūkumus. Proti, likumprojekta anotācija un likumprojekta izskatīšanas procesā paustie apsvērumi neietver tādu pamatojumu, kas ļautu likumdevējam pārliecināties par to, ka minimālo ienākumu sliekšņu noteikšanas pamatprincipi kopsakarā ar citiem sociālās drošības sistēmas pasākumiem šobrīd spēj nodrošināt tā saņēmēja pamatvajadzību apmierināšanu un ļauj viņam dzīvot tādu dzīvi, kas atbilst cilvēka cieņai. Līdz ar to šobrīd nav pamats uzskatīt, ka likumprojektā ietvertās tiesību normas atbilst Latvijas Republikas Satversmei.</w:t>
            </w:r>
          </w:p>
          <w:p w14:paraId="110B23DA" w14:textId="77777777" w:rsidR="00DC065A" w:rsidRPr="00136F5F" w:rsidRDefault="00DC065A" w:rsidP="00DC065A">
            <w:pPr>
              <w:ind w:firstLine="567"/>
              <w:jc w:val="both"/>
              <w:rPr>
                <w:i/>
                <w:iCs/>
                <w:sz w:val="22"/>
              </w:rPr>
            </w:pPr>
            <w:r w:rsidRPr="00136F5F">
              <w:rPr>
                <w:i/>
                <w:iCs/>
                <w:sz w:val="22"/>
              </w:rPr>
              <w:t xml:space="preserve">Papildus vēršam uzmanību, ka, vērtējot minimālo ienākumu sliekšņu adekvātumu, ir būtiski ievērot ne tikai no Latvijas Republikas Satversmes izrietošos principus, bet arī valsts starptautiskās saistības, tostarp </w:t>
            </w:r>
            <w:r w:rsidRPr="00136F5F">
              <w:rPr>
                <w:i/>
                <w:iCs/>
                <w:sz w:val="22"/>
              </w:rPr>
              <w:lastRenderedPageBreak/>
              <w:t>saistības, kas izriet no Pārskatītās Eiropas Sociālās hartas (turpmāk – Harta), kuru likumdevējs pieņēma un apstiprināja (ratificēja) 2013. gadā, pieņemot likumu “Par Pārskatīto Eiropas Sociālo hartu”.</w:t>
            </w:r>
          </w:p>
          <w:p w14:paraId="736B0CAD" w14:textId="77777777" w:rsidR="00DC065A" w:rsidRPr="00136F5F" w:rsidRDefault="00DC065A" w:rsidP="00DC065A">
            <w:pPr>
              <w:ind w:firstLine="720"/>
              <w:jc w:val="both"/>
              <w:rPr>
                <w:i/>
                <w:iCs/>
                <w:sz w:val="22"/>
              </w:rPr>
            </w:pPr>
            <w:r w:rsidRPr="00136F5F">
              <w:rPr>
                <w:i/>
                <w:iCs/>
                <w:sz w:val="22"/>
              </w:rPr>
              <w:t>Likumprojekta anotācija un ar to saistīto likumprojektu, kas detalizētāk regulē konkrētos minimālo ienākumu sliekšņus (likumprojekti Nr. 750/Lp14 un Nr. 753/Lp14) anotācijās nesatur vērtējumu par atbilstību Hartas prasībām. Turklāt jānorāda, ka situācijā, ja valsts objektīvu iemeslu dēļ konkrētajā brīdī nespēj nodrošināt atbilstību Hartas prasībām, ir jābūt skaidram plānam par to, kā un kad Latvijā tiks pilnībā nodrošinātas Eiropas Sociālās hartas prasības (sk. Satversmes tiesas 2020. gada 10. decembra sprieduma lietā Nr. 2020</w:t>
            </w:r>
            <w:r w:rsidRPr="00136F5F">
              <w:rPr>
                <w:i/>
                <w:iCs/>
                <w:sz w:val="22"/>
              </w:rPr>
              <w:noBreakHyphen/>
              <w:t>07</w:t>
            </w:r>
            <w:r w:rsidRPr="00136F5F">
              <w:rPr>
                <w:i/>
                <w:iCs/>
                <w:sz w:val="22"/>
              </w:rPr>
              <w:noBreakHyphen/>
              <w:t>03 22.2. punktu).</w:t>
            </w:r>
          </w:p>
          <w:p w14:paraId="2EED967E" w14:textId="5D23F37E" w:rsidR="00DC065A" w:rsidRPr="00DC065A" w:rsidRDefault="00DC065A" w:rsidP="00DC065A">
            <w:pPr>
              <w:ind w:firstLine="720"/>
              <w:jc w:val="both"/>
              <w:rPr>
                <w:i/>
                <w:iCs/>
                <w:sz w:val="22"/>
              </w:rPr>
            </w:pPr>
            <w:r w:rsidRPr="00136F5F">
              <w:rPr>
                <w:i/>
                <w:iCs/>
                <w:sz w:val="22"/>
              </w:rPr>
              <w:t xml:space="preserve">Ņemot vērā iepriekš minēto un konkrētā likumprojekta ciešo saikni ar likumprojektiem Nr. 750/Lp14 un Nr. 753/Lp14, aicinām uzklausīt likumprojektu autoru izvērtējumu par to, vai šobrīd piedāvātie minimālo ienākumu sliekšņi kopsakarā ar citiem sociālas drošības pasākumiem ir spējīgi nodrošināt vismaz personu </w:t>
            </w:r>
            <w:r w:rsidRPr="00136F5F">
              <w:rPr>
                <w:i/>
                <w:iCs/>
                <w:sz w:val="22"/>
              </w:rPr>
              <w:lastRenderedPageBreak/>
              <w:t>pamatvajadzību apmierināšanu un atbilstību valsts uzņemtajām starptautiskajām saistībām.</w:t>
            </w:r>
          </w:p>
        </w:tc>
        <w:tc>
          <w:tcPr>
            <w:tcW w:w="1397" w:type="dxa"/>
          </w:tcPr>
          <w:p w14:paraId="6BB339FC" w14:textId="5DCA363B" w:rsidR="00826C38" w:rsidRPr="00DC065A" w:rsidRDefault="007C4521" w:rsidP="00835788">
            <w:pPr>
              <w:jc w:val="center"/>
              <w:rPr>
                <w:b/>
                <w:szCs w:val="24"/>
              </w:rPr>
            </w:pPr>
            <w:r>
              <w:rPr>
                <w:b/>
                <w:szCs w:val="24"/>
              </w:rPr>
              <w:lastRenderedPageBreak/>
              <w:t>Neatbalstīt</w:t>
            </w:r>
          </w:p>
        </w:tc>
        <w:tc>
          <w:tcPr>
            <w:tcW w:w="1404" w:type="dxa"/>
            <w:vAlign w:val="center"/>
          </w:tcPr>
          <w:p w14:paraId="55C46D0F" w14:textId="77777777" w:rsidR="00826C38" w:rsidRPr="00DC065A" w:rsidRDefault="00826C38" w:rsidP="00AD7FA9">
            <w:pPr>
              <w:jc w:val="center"/>
              <w:rPr>
                <w:b/>
                <w:szCs w:val="24"/>
              </w:rPr>
            </w:pPr>
          </w:p>
        </w:tc>
      </w:tr>
      <w:tr w:rsidR="00487712" w:rsidRPr="00DC065A" w14:paraId="625480C3" w14:textId="77777777" w:rsidTr="00826C38">
        <w:tc>
          <w:tcPr>
            <w:tcW w:w="3501" w:type="dxa"/>
            <w:shd w:val="clear" w:color="auto" w:fill="auto"/>
          </w:tcPr>
          <w:p w14:paraId="709CEB58" w14:textId="77777777" w:rsidR="00826C38" w:rsidRPr="00DC065A" w:rsidRDefault="00826C38" w:rsidP="00826C38">
            <w:pPr>
              <w:pStyle w:val="tv213"/>
              <w:spacing w:before="0" w:beforeAutospacing="0" w:after="0" w:afterAutospacing="0"/>
              <w:ind w:firstLine="567"/>
              <w:jc w:val="both"/>
              <w:rPr>
                <w:sz w:val="22"/>
                <w:szCs w:val="22"/>
              </w:rPr>
            </w:pPr>
            <w:r w:rsidRPr="00DC065A">
              <w:rPr>
                <w:b/>
                <w:bCs/>
                <w:sz w:val="22"/>
                <w:szCs w:val="22"/>
              </w:rPr>
              <w:lastRenderedPageBreak/>
              <w:t>2.</w:t>
            </w:r>
            <w:r w:rsidRPr="00DC065A">
              <w:rPr>
                <w:b/>
                <w:bCs/>
                <w:sz w:val="22"/>
                <w:szCs w:val="22"/>
                <w:vertAlign w:val="superscript"/>
              </w:rPr>
              <w:t>2</w:t>
            </w:r>
            <w:r w:rsidRPr="00DC065A">
              <w:rPr>
                <w:b/>
                <w:bCs/>
                <w:sz w:val="22"/>
                <w:szCs w:val="22"/>
              </w:rPr>
              <w:t xml:space="preserve"> pants. Minimālo ienākumu sliekšņi</w:t>
            </w:r>
          </w:p>
          <w:p w14:paraId="735F21C2" w14:textId="1F03C0EF" w:rsidR="00826C38" w:rsidRPr="00DC065A" w:rsidRDefault="00826C38" w:rsidP="00826C38">
            <w:pPr>
              <w:pStyle w:val="tv213"/>
              <w:spacing w:before="0" w:beforeAutospacing="0" w:after="0" w:afterAutospacing="0"/>
              <w:ind w:firstLine="567"/>
              <w:jc w:val="both"/>
              <w:rPr>
                <w:sz w:val="22"/>
                <w:szCs w:val="22"/>
              </w:rPr>
            </w:pPr>
            <w:r w:rsidRPr="00DC065A">
              <w:rPr>
                <w:sz w:val="22"/>
                <w:szCs w:val="22"/>
              </w:rPr>
              <w:t xml:space="preserve">(2) Minimālo ienākumu slieksnis nav zemāks par 20 procentiem (noapaļots līdz pilniem </w:t>
            </w:r>
            <w:r w:rsidRPr="00DC065A">
              <w:rPr>
                <w:i/>
                <w:iCs/>
                <w:sz w:val="22"/>
                <w:szCs w:val="22"/>
              </w:rPr>
              <w:t>euro</w:t>
            </w:r>
            <w:r w:rsidRPr="00DC065A">
              <w:rPr>
                <w:sz w:val="22"/>
                <w:szCs w:val="22"/>
              </w:rPr>
              <w:t>) no Centrālās statistikas pārvaldes tīmekļvietnē publicētās minimālo ienākumu mediānas uz vienu ekvivalento patērētāju mēnesī (turpmāk — ienākumu mediāna). Līdz kārtējā gada 1. februārim Centrālās statistikas pārvalde tīmekļvietnē publicē aktuālo ienākumu mediānu, un tā tiek ņemta par pamatu, nosakot minimālo ienākumu sliekšņa apmēru nākamajam gadam.</w:t>
            </w:r>
          </w:p>
        </w:tc>
        <w:tc>
          <w:tcPr>
            <w:tcW w:w="3554" w:type="dxa"/>
            <w:shd w:val="clear" w:color="auto" w:fill="auto"/>
            <w:vAlign w:val="center"/>
          </w:tcPr>
          <w:p w14:paraId="3D7B18B9" w14:textId="77777777" w:rsidR="00826C38" w:rsidRPr="00DC065A" w:rsidRDefault="00826C38" w:rsidP="00826C38">
            <w:pPr>
              <w:pStyle w:val="paragraph"/>
              <w:ind w:firstLine="567"/>
              <w:contextualSpacing w:val="0"/>
              <w:rPr>
                <w:color w:val="auto"/>
                <w:sz w:val="22"/>
                <w:szCs w:val="22"/>
              </w:rPr>
            </w:pPr>
            <w:r w:rsidRPr="00DC065A">
              <w:rPr>
                <w:color w:val="auto"/>
                <w:sz w:val="22"/>
                <w:szCs w:val="22"/>
              </w:rPr>
              <w:t>Izteikt 2.</w:t>
            </w:r>
            <w:r w:rsidRPr="00DC065A">
              <w:rPr>
                <w:color w:val="auto"/>
                <w:sz w:val="22"/>
                <w:szCs w:val="22"/>
                <w:vertAlign w:val="superscript"/>
              </w:rPr>
              <w:t>2</w:t>
            </w:r>
            <w:r w:rsidRPr="00DC065A">
              <w:rPr>
                <w:color w:val="auto"/>
                <w:sz w:val="22"/>
                <w:szCs w:val="22"/>
              </w:rPr>
              <w:t xml:space="preserve"> panta otro un trešo daļu šādā redakcijā:</w:t>
            </w:r>
          </w:p>
          <w:p w14:paraId="0B2D11DB" w14:textId="77777777" w:rsidR="00826C38" w:rsidRPr="00DC065A" w:rsidRDefault="00826C38" w:rsidP="00826C38">
            <w:pPr>
              <w:numPr>
                <w:ilvl w:val="0"/>
                <w:numId w:val="1"/>
              </w:numPr>
              <w:ind w:firstLine="567"/>
              <w:jc w:val="both"/>
              <w:rPr>
                <w:sz w:val="22"/>
              </w:rPr>
            </w:pPr>
            <w:r w:rsidRPr="00DC065A">
              <w:rPr>
                <w:sz w:val="22"/>
              </w:rPr>
              <w:t xml:space="preserve">"(2) Minimālo ienākumu slieksnis nav zemāks par 22 procentiem (noapaļots līdz pilniem </w:t>
            </w:r>
            <w:r w:rsidRPr="00DC065A">
              <w:rPr>
                <w:i/>
                <w:sz w:val="22"/>
              </w:rPr>
              <w:t>euro</w:t>
            </w:r>
            <w:r w:rsidRPr="00DC065A">
              <w:rPr>
                <w:sz w:val="22"/>
              </w:rPr>
              <w:t>) no Centrālās statistikas pārvaldes tīmekļvietnē publicētās minimālo ienākumu mediānas uz vienu ekvivalento patērētāju mēnesī (turpmāk – ienākumu mediāna). Līdz kārtējā gada 1. februārim Centrālā statistikas pārvalde tīmekļvietnē publicē aktuālo ienākumu mediānu, un tā tiek ņemta par pamatu, nosakot minimālo ienākumu sliekšņa apmēru nākamajam gadam.</w:t>
            </w:r>
          </w:p>
          <w:p w14:paraId="2449A4A7" w14:textId="118D35FF" w:rsidR="00826C38" w:rsidRPr="00DC065A" w:rsidRDefault="00826C38" w:rsidP="00826C38">
            <w:pPr>
              <w:numPr>
                <w:ilvl w:val="0"/>
                <w:numId w:val="1"/>
              </w:numPr>
              <w:ind w:firstLine="567"/>
              <w:jc w:val="both"/>
              <w:rPr>
                <w:sz w:val="22"/>
              </w:rPr>
            </w:pPr>
          </w:p>
        </w:tc>
        <w:tc>
          <w:tcPr>
            <w:tcW w:w="566" w:type="dxa"/>
            <w:vAlign w:val="center"/>
          </w:tcPr>
          <w:p w14:paraId="383E5DF4" w14:textId="77777777" w:rsidR="00826C38" w:rsidRPr="00DC065A" w:rsidRDefault="00826C38" w:rsidP="00AD7FA9">
            <w:pPr>
              <w:jc w:val="center"/>
              <w:rPr>
                <w:b/>
                <w:szCs w:val="24"/>
              </w:rPr>
            </w:pPr>
          </w:p>
        </w:tc>
        <w:tc>
          <w:tcPr>
            <w:tcW w:w="3526" w:type="dxa"/>
            <w:vAlign w:val="center"/>
          </w:tcPr>
          <w:p w14:paraId="4BA737D3" w14:textId="77777777" w:rsidR="00826C38" w:rsidRPr="00DC065A" w:rsidRDefault="00826C38" w:rsidP="00AD7FA9">
            <w:pPr>
              <w:jc w:val="center"/>
              <w:rPr>
                <w:b/>
                <w:szCs w:val="24"/>
              </w:rPr>
            </w:pPr>
          </w:p>
        </w:tc>
        <w:tc>
          <w:tcPr>
            <w:tcW w:w="1397" w:type="dxa"/>
            <w:vAlign w:val="center"/>
          </w:tcPr>
          <w:p w14:paraId="69157FDA" w14:textId="77777777" w:rsidR="00826C38" w:rsidRPr="00DC065A" w:rsidRDefault="00826C38" w:rsidP="00AD7FA9">
            <w:pPr>
              <w:jc w:val="center"/>
              <w:rPr>
                <w:b/>
                <w:szCs w:val="24"/>
              </w:rPr>
            </w:pPr>
          </w:p>
        </w:tc>
        <w:tc>
          <w:tcPr>
            <w:tcW w:w="1404" w:type="dxa"/>
            <w:vAlign w:val="center"/>
          </w:tcPr>
          <w:p w14:paraId="78D6C51A" w14:textId="77777777" w:rsidR="00826C38" w:rsidRPr="00DC065A" w:rsidRDefault="00826C38" w:rsidP="00AD7FA9">
            <w:pPr>
              <w:jc w:val="center"/>
              <w:rPr>
                <w:b/>
                <w:szCs w:val="24"/>
              </w:rPr>
            </w:pPr>
          </w:p>
        </w:tc>
      </w:tr>
      <w:tr w:rsidR="00487712" w:rsidRPr="00DC065A" w14:paraId="76F63595" w14:textId="77777777" w:rsidTr="00826C38">
        <w:tc>
          <w:tcPr>
            <w:tcW w:w="3501" w:type="dxa"/>
            <w:shd w:val="clear" w:color="auto" w:fill="auto"/>
          </w:tcPr>
          <w:p w14:paraId="34EC44BE" w14:textId="393E5B2B" w:rsidR="00826C38" w:rsidRPr="00DC065A" w:rsidRDefault="00826C38" w:rsidP="00826C38">
            <w:pPr>
              <w:pStyle w:val="tv213"/>
              <w:spacing w:before="0" w:beforeAutospacing="0" w:after="0" w:afterAutospacing="0"/>
              <w:ind w:firstLine="567"/>
              <w:jc w:val="both"/>
              <w:rPr>
                <w:b/>
                <w:bCs/>
                <w:sz w:val="22"/>
                <w:szCs w:val="22"/>
              </w:rPr>
            </w:pPr>
            <w:r w:rsidRPr="00DC065A">
              <w:rPr>
                <w:sz w:val="22"/>
                <w:szCs w:val="22"/>
              </w:rPr>
              <w:t>(3) Minimālo ienākumu sliekšņus pārskata vienlaikus katru gadu 1. janvārī, ņemot vērā aktuālo ienākumu mediānu. Ja pārskata gadā aktuālā ienākumu mediāna nemainās vai samazinās, minimālo ienākumu sliekšņi paliek iepriekš noteiktajā apmērā.</w:t>
            </w:r>
          </w:p>
        </w:tc>
        <w:tc>
          <w:tcPr>
            <w:tcW w:w="3554" w:type="dxa"/>
            <w:shd w:val="clear" w:color="auto" w:fill="auto"/>
            <w:vAlign w:val="center"/>
          </w:tcPr>
          <w:p w14:paraId="67160C7B" w14:textId="715D2FE8" w:rsidR="00826C38" w:rsidRPr="00DC065A" w:rsidRDefault="00826C38" w:rsidP="00826C38">
            <w:pPr>
              <w:pStyle w:val="paragraph"/>
              <w:ind w:firstLine="567"/>
              <w:contextualSpacing w:val="0"/>
              <w:rPr>
                <w:color w:val="auto"/>
                <w:sz w:val="22"/>
                <w:szCs w:val="22"/>
              </w:rPr>
            </w:pPr>
            <w:r w:rsidRPr="00DC065A">
              <w:rPr>
                <w:color w:val="auto"/>
                <w:sz w:val="22"/>
                <w:szCs w:val="22"/>
              </w:rPr>
              <w:t>(3) Minimālo ienākumu sliekšņus pārskata vienlaikus katru gadu 1. janvārī, ņemot vērā aktuālo ienākumu mediānu. Ja pārskata gadā aktuālā ienākumu mediāna nemainās vai samazinās, minimālo ienākumu sliekšņi paliek iepriekš noteiktajā apmērā."</w:t>
            </w:r>
          </w:p>
        </w:tc>
        <w:tc>
          <w:tcPr>
            <w:tcW w:w="566" w:type="dxa"/>
            <w:vAlign w:val="center"/>
          </w:tcPr>
          <w:p w14:paraId="53E9B442" w14:textId="77777777" w:rsidR="00826C38" w:rsidRPr="00DC065A" w:rsidRDefault="00826C38" w:rsidP="00AD7FA9">
            <w:pPr>
              <w:jc w:val="center"/>
              <w:rPr>
                <w:b/>
                <w:szCs w:val="24"/>
              </w:rPr>
            </w:pPr>
          </w:p>
        </w:tc>
        <w:tc>
          <w:tcPr>
            <w:tcW w:w="3526" w:type="dxa"/>
            <w:vAlign w:val="center"/>
          </w:tcPr>
          <w:p w14:paraId="47B51F31" w14:textId="77777777" w:rsidR="00826C38" w:rsidRPr="00DC065A" w:rsidRDefault="00826C38" w:rsidP="00AD7FA9">
            <w:pPr>
              <w:jc w:val="center"/>
              <w:rPr>
                <w:b/>
                <w:szCs w:val="24"/>
              </w:rPr>
            </w:pPr>
          </w:p>
        </w:tc>
        <w:tc>
          <w:tcPr>
            <w:tcW w:w="1397" w:type="dxa"/>
            <w:vAlign w:val="center"/>
          </w:tcPr>
          <w:p w14:paraId="0A7A8521" w14:textId="77777777" w:rsidR="00826C38" w:rsidRPr="00DC065A" w:rsidRDefault="00826C38" w:rsidP="00AD7FA9">
            <w:pPr>
              <w:jc w:val="center"/>
              <w:rPr>
                <w:b/>
                <w:szCs w:val="24"/>
              </w:rPr>
            </w:pPr>
          </w:p>
        </w:tc>
        <w:tc>
          <w:tcPr>
            <w:tcW w:w="1404" w:type="dxa"/>
            <w:vAlign w:val="center"/>
          </w:tcPr>
          <w:p w14:paraId="1951ECCD" w14:textId="77777777" w:rsidR="00826C38" w:rsidRPr="00DC065A" w:rsidRDefault="00826C38" w:rsidP="00AD7FA9">
            <w:pPr>
              <w:jc w:val="center"/>
              <w:rPr>
                <w:b/>
                <w:szCs w:val="24"/>
              </w:rPr>
            </w:pPr>
          </w:p>
        </w:tc>
      </w:tr>
      <w:tr w:rsidR="00826C38" w:rsidRPr="00DC065A" w14:paraId="521DBB1E" w14:textId="77777777" w:rsidTr="00AD7FA9">
        <w:tc>
          <w:tcPr>
            <w:tcW w:w="3501" w:type="dxa"/>
            <w:shd w:val="clear" w:color="auto" w:fill="auto"/>
          </w:tcPr>
          <w:p w14:paraId="5EDC9EAA" w14:textId="146880B9" w:rsidR="00826C38" w:rsidRPr="00DC065A" w:rsidRDefault="00826C38" w:rsidP="00AD7FA9">
            <w:pPr>
              <w:ind w:firstLine="567"/>
              <w:jc w:val="both"/>
              <w:rPr>
                <w:b/>
                <w:bCs/>
                <w:iCs/>
                <w:sz w:val="22"/>
              </w:rPr>
            </w:pPr>
          </w:p>
        </w:tc>
        <w:tc>
          <w:tcPr>
            <w:tcW w:w="3554" w:type="dxa"/>
            <w:shd w:val="clear" w:color="auto" w:fill="auto"/>
            <w:vAlign w:val="center"/>
          </w:tcPr>
          <w:p w14:paraId="6B225BFF" w14:textId="79F83AF8" w:rsidR="00826C38" w:rsidRPr="00DC065A" w:rsidRDefault="00826C38" w:rsidP="00826C38">
            <w:pPr>
              <w:pStyle w:val="paragraph"/>
              <w:ind w:firstLine="567"/>
              <w:contextualSpacing w:val="0"/>
              <w:rPr>
                <w:color w:val="auto"/>
                <w:sz w:val="22"/>
                <w:szCs w:val="22"/>
              </w:rPr>
            </w:pPr>
            <w:r w:rsidRPr="00DC065A">
              <w:rPr>
                <w:color w:val="auto"/>
                <w:sz w:val="22"/>
                <w:szCs w:val="22"/>
              </w:rPr>
              <w:t>Likums stājas spēkā 2025. gada 1. janvārī.</w:t>
            </w:r>
          </w:p>
        </w:tc>
        <w:tc>
          <w:tcPr>
            <w:tcW w:w="566" w:type="dxa"/>
            <w:vAlign w:val="center"/>
          </w:tcPr>
          <w:p w14:paraId="20302972" w14:textId="77777777" w:rsidR="00826C38" w:rsidRPr="00DC065A" w:rsidRDefault="00826C38" w:rsidP="00AD7FA9">
            <w:pPr>
              <w:jc w:val="center"/>
              <w:rPr>
                <w:b/>
                <w:szCs w:val="24"/>
              </w:rPr>
            </w:pPr>
          </w:p>
        </w:tc>
        <w:tc>
          <w:tcPr>
            <w:tcW w:w="3526" w:type="dxa"/>
            <w:vAlign w:val="center"/>
          </w:tcPr>
          <w:p w14:paraId="72B2ABCA" w14:textId="77777777" w:rsidR="00826C38" w:rsidRPr="00DC065A" w:rsidRDefault="00826C38" w:rsidP="00AD7FA9">
            <w:pPr>
              <w:jc w:val="center"/>
              <w:rPr>
                <w:b/>
                <w:szCs w:val="24"/>
              </w:rPr>
            </w:pPr>
          </w:p>
        </w:tc>
        <w:tc>
          <w:tcPr>
            <w:tcW w:w="1397" w:type="dxa"/>
            <w:vAlign w:val="center"/>
          </w:tcPr>
          <w:p w14:paraId="4B75591F" w14:textId="77777777" w:rsidR="00826C38" w:rsidRPr="00DC065A" w:rsidRDefault="00826C38" w:rsidP="00AD7FA9">
            <w:pPr>
              <w:jc w:val="center"/>
              <w:rPr>
                <w:b/>
                <w:szCs w:val="24"/>
              </w:rPr>
            </w:pPr>
          </w:p>
        </w:tc>
        <w:tc>
          <w:tcPr>
            <w:tcW w:w="1404" w:type="dxa"/>
            <w:vAlign w:val="center"/>
          </w:tcPr>
          <w:p w14:paraId="6FE8D419" w14:textId="77777777" w:rsidR="00826C38" w:rsidRPr="00DC065A" w:rsidRDefault="00826C38" w:rsidP="00AD7FA9">
            <w:pPr>
              <w:jc w:val="center"/>
              <w:rPr>
                <w:b/>
                <w:szCs w:val="24"/>
              </w:rPr>
            </w:pPr>
          </w:p>
        </w:tc>
      </w:tr>
    </w:tbl>
    <w:p w14:paraId="281B8697" w14:textId="77777777" w:rsidR="00826C38" w:rsidRPr="00DC065A" w:rsidRDefault="00826C38" w:rsidP="00826C38"/>
    <w:p w14:paraId="34A49C04" w14:textId="77777777" w:rsidR="006250ED" w:rsidRPr="00DC065A" w:rsidRDefault="006250ED"/>
    <w:sectPr w:rsidR="006250ED" w:rsidRPr="00DC065A" w:rsidSect="0020425B">
      <w:footerReference w:type="default" r:id="rId7"/>
      <w:pgSz w:w="16838" w:h="11906" w:orient="landscape"/>
      <w:pgMar w:top="1560"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D64822" w14:textId="77777777" w:rsidR="00876C36" w:rsidRDefault="00487712">
      <w:r>
        <w:separator/>
      </w:r>
    </w:p>
  </w:endnote>
  <w:endnote w:type="continuationSeparator" w:id="0">
    <w:p w14:paraId="25C5095D" w14:textId="77777777" w:rsidR="00876C36" w:rsidRDefault="00487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0515156"/>
      <w:docPartObj>
        <w:docPartGallery w:val="Page Numbers (Bottom of Page)"/>
        <w:docPartUnique/>
      </w:docPartObj>
    </w:sdtPr>
    <w:sdtEndPr>
      <w:rPr>
        <w:noProof/>
      </w:rPr>
    </w:sdtEndPr>
    <w:sdtContent>
      <w:p w14:paraId="43070601" w14:textId="77777777" w:rsidR="00835788" w:rsidRDefault="002B2203">
        <w:pPr>
          <w:pStyle w:val="Footer"/>
          <w:jc w:val="right"/>
        </w:pPr>
        <w:r>
          <w:fldChar w:fldCharType="begin"/>
        </w:r>
        <w:r>
          <w:instrText xml:space="preserve"> PAGE   \* MERGEFORMAT </w:instrText>
        </w:r>
        <w:r>
          <w:fldChar w:fldCharType="separate"/>
        </w:r>
        <w:r w:rsidR="007C4521">
          <w:rPr>
            <w:noProof/>
          </w:rPr>
          <w:t>5</w:t>
        </w:r>
        <w:r>
          <w:rPr>
            <w:noProof/>
          </w:rPr>
          <w:fldChar w:fldCharType="end"/>
        </w:r>
      </w:p>
    </w:sdtContent>
  </w:sdt>
  <w:p w14:paraId="7F7E2236" w14:textId="77777777" w:rsidR="00835788" w:rsidRDefault="00835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67FB07" w14:textId="77777777" w:rsidR="00876C36" w:rsidRDefault="00487712">
      <w:r>
        <w:separator/>
      </w:r>
    </w:p>
  </w:footnote>
  <w:footnote w:type="continuationSeparator" w:id="0">
    <w:p w14:paraId="07A6AA55" w14:textId="77777777" w:rsidR="00876C36" w:rsidRDefault="004877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262584"/>
    <w:multiLevelType w:val="hybridMultilevel"/>
    <w:tmpl w:val="C1AC6FFC"/>
    <w:lvl w:ilvl="0" w:tplc="7E7CC794">
      <w:start w:val="1"/>
      <w:numFmt w:val="bullet"/>
      <w:lvlRestart w:val="0"/>
      <w:lvlText w:val=""/>
      <w:lvlJc w:val="left"/>
      <w:pPr>
        <w:ind w:left="0" w:firstLine="705"/>
      </w:pPr>
      <w:rPr>
        <w:u w:val="none"/>
      </w:rPr>
    </w:lvl>
    <w:lvl w:ilvl="1" w:tplc="F31407EA">
      <w:numFmt w:val="decimal"/>
      <w:lvlText w:val=""/>
      <w:lvlJc w:val="left"/>
    </w:lvl>
    <w:lvl w:ilvl="2" w:tplc="E030197A">
      <w:numFmt w:val="decimal"/>
      <w:lvlText w:val=""/>
      <w:lvlJc w:val="left"/>
    </w:lvl>
    <w:lvl w:ilvl="3" w:tplc="BBC624CA">
      <w:numFmt w:val="decimal"/>
      <w:lvlText w:val=""/>
      <w:lvlJc w:val="left"/>
    </w:lvl>
    <w:lvl w:ilvl="4" w:tplc="B2FC1A0E">
      <w:numFmt w:val="decimal"/>
      <w:lvlText w:val=""/>
      <w:lvlJc w:val="left"/>
    </w:lvl>
    <w:lvl w:ilvl="5" w:tplc="D6647C7E">
      <w:numFmt w:val="decimal"/>
      <w:lvlText w:val=""/>
      <w:lvlJc w:val="left"/>
    </w:lvl>
    <w:lvl w:ilvl="6" w:tplc="7916AB10">
      <w:numFmt w:val="decimal"/>
      <w:lvlText w:val=""/>
      <w:lvlJc w:val="left"/>
    </w:lvl>
    <w:lvl w:ilvl="7" w:tplc="2EF8540C">
      <w:numFmt w:val="decimal"/>
      <w:lvlText w:val=""/>
      <w:lvlJc w:val="left"/>
    </w:lvl>
    <w:lvl w:ilvl="8" w:tplc="C4AC9AB6">
      <w:numFmt w:val="decimal"/>
      <w:lvlText w:val=""/>
      <w:lvlJc w:val="left"/>
    </w:lvl>
  </w:abstractNum>
  <w:num w:numId="1" w16cid:durableId="1298342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C38"/>
    <w:rsid w:val="00152E5C"/>
    <w:rsid w:val="002B2203"/>
    <w:rsid w:val="00487712"/>
    <w:rsid w:val="006250ED"/>
    <w:rsid w:val="007C2E2C"/>
    <w:rsid w:val="007C4521"/>
    <w:rsid w:val="00826C38"/>
    <w:rsid w:val="00835788"/>
    <w:rsid w:val="00876C36"/>
    <w:rsid w:val="00DC06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C6078"/>
  <w15:chartTrackingRefBased/>
  <w15:docId w15:val="{013C2A81-54CE-449E-9200-2CF7BDEA6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C38"/>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826C38"/>
    <w:rPr>
      <w:i/>
      <w:iCs/>
    </w:rPr>
  </w:style>
  <w:style w:type="paragraph" w:customStyle="1" w:styleId="naisvisr">
    <w:name w:val="naisvisr"/>
    <w:basedOn w:val="Normal"/>
    <w:rsid w:val="00826C38"/>
    <w:pPr>
      <w:spacing w:before="100" w:beforeAutospacing="1" w:after="100" w:afterAutospacing="1"/>
    </w:pPr>
    <w:rPr>
      <w:rFonts w:eastAsia="Times New Roman"/>
      <w:szCs w:val="24"/>
      <w:lang w:eastAsia="lv-LV"/>
    </w:rPr>
  </w:style>
  <w:style w:type="paragraph" w:customStyle="1" w:styleId="paragraphheader">
    <w:name w:val="paragraph_header"/>
    <w:basedOn w:val="Normal"/>
    <w:next w:val="Normal"/>
    <w:rsid w:val="00826C38"/>
    <w:pPr>
      <w:spacing w:before="280" w:after="280"/>
      <w:contextualSpacing/>
      <w:jc w:val="both"/>
    </w:pPr>
    <w:rPr>
      <w:rFonts w:eastAsia="Times New Roman"/>
      <w:color w:val="333333"/>
      <w:sz w:val="28"/>
      <w:szCs w:val="20"/>
      <w:lang w:eastAsia="lv-LV"/>
    </w:rPr>
  </w:style>
  <w:style w:type="paragraph" w:customStyle="1" w:styleId="paragraph">
    <w:name w:val="paragraph"/>
    <w:basedOn w:val="Normal"/>
    <w:next w:val="Normal"/>
    <w:rsid w:val="00826C38"/>
    <w:pPr>
      <w:ind w:firstLine="705"/>
      <w:contextualSpacing/>
      <w:jc w:val="both"/>
    </w:pPr>
    <w:rPr>
      <w:rFonts w:eastAsia="Times New Roman"/>
      <w:color w:val="333333"/>
      <w:sz w:val="28"/>
      <w:szCs w:val="20"/>
      <w:lang w:eastAsia="lv-LV"/>
    </w:rPr>
  </w:style>
  <w:style w:type="paragraph" w:customStyle="1" w:styleId="tv213">
    <w:name w:val="tv213"/>
    <w:basedOn w:val="Normal"/>
    <w:rsid w:val="00826C38"/>
    <w:pPr>
      <w:spacing w:before="100" w:beforeAutospacing="1" w:after="100" w:afterAutospacing="1"/>
    </w:pPr>
    <w:rPr>
      <w:rFonts w:eastAsia="Times New Roman"/>
      <w:szCs w:val="24"/>
      <w:lang w:eastAsia="lv-LV"/>
    </w:rPr>
  </w:style>
  <w:style w:type="paragraph" w:styleId="Footer">
    <w:name w:val="footer"/>
    <w:basedOn w:val="Normal"/>
    <w:link w:val="FooterChar"/>
    <w:uiPriority w:val="99"/>
    <w:unhideWhenUsed/>
    <w:rsid w:val="00826C38"/>
    <w:pPr>
      <w:tabs>
        <w:tab w:val="center" w:pos="4153"/>
        <w:tab w:val="right" w:pos="8306"/>
      </w:tabs>
    </w:pPr>
  </w:style>
  <w:style w:type="character" w:customStyle="1" w:styleId="FooterChar">
    <w:name w:val="Footer Char"/>
    <w:basedOn w:val="DefaultParagraphFont"/>
    <w:link w:val="Footer"/>
    <w:uiPriority w:val="99"/>
    <w:rsid w:val="00826C38"/>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9525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3794</Words>
  <Characters>2163</Characters>
  <Application>Microsoft Office Word</Application>
  <DocSecurity>4</DocSecurity>
  <Lines>18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Vizma Casno</dc:creator>
  <cp:keywords/>
  <dc:description/>
  <cp:lastModifiedBy>BMN</cp:lastModifiedBy>
  <cp:revision>2</cp:revision>
  <dcterms:created xsi:type="dcterms:W3CDTF">2024-11-05T16:12:00Z</dcterms:created>
  <dcterms:modified xsi:type="dcterms:W3CDTF">2024-11-05T16:12:00Z</dcterms:modified>
</cp:coreProperties>
</file>