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24-TA-1825: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nodokļiem un nodevām"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Tirgotāju asociācija atgādina par Eiropas Komisijas un ESAO (OECD) programmu par mazo un vidējo tirdzniecības uzņēmumu atbalstu. Saistībā ar to vēlamies pievērst uzmanību plānotiem likuma grozījumiem, kas paredz pienākumu uzņēmumiem ar gada apgrozījumu virs 50 000 eiro nodrošināt iespēju klientiem norēķināties par pakalpojumiem un darījumiem arī bezskaidrā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Mūsu biedru vidū ir uzņēmumi, kuri nodarbojas ar kafijas un uzkodu tirdzniecību, izmantojot tirdzniecības automātus, kuros šobrīd ir iespējams norēķināties tikai ar skaidru naudu. Lai gan šādu uzņēmumu gada apgrozījums pārsniedz 50 000 eiro, lielākā daļa tirdzniecības automātu rada salīdzinoši nelielu apgrozījumu. Nepieciešamība aprīkot katru tirdzniecības automātu ar POS terminālu radīs būtiskas grūtības, kas padraud šī pakalpojuma sniegšanu vispār. Katra tirdzniecības automāta aprīkošana ar POS terminālu ir dārga un, mūsuprāt, nerada neuzskaitītu ieņēmumu rašanās draudus vai ēnu ekonomikas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Nesamērīgs administratīvais un finansiālais slogs rodas sekojošu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Mazs apgrozījums automātos. Daudzos mūsu tirdzniecības automātos ir pārāk mazs apgrozījums (no 100 līdz 300 eiro mēnesī), lai atmaksātos to aprīkošana ar POS termināliem, jo nepieciešamās investīcijas būtiski pārsniedz potenciālos ieņēmumus. Tas radītu uzņēmumam papildus izmaksas, kas ievērojami apgrūtinātu mūsu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Zema darījumu vērtība. Vidējā viena darījuma vērtība mūsu tirdzniecības automātos ir aptuveni 1 eiro. Tas nozīmē, ka kopējais apgrozījums tiek veidots no liela skaita nelielu transakciju. Šādu mazu summu apkalpošana ar POS termināliem būtiski palielina izmaksas, jo katrai transakcijai tiek piemērota komisijas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Augstas komisijas maksas. Tirdzniecības automātos POS terminālu lietošanas izmaksas ir ievērojami augstākas nekā citiem pakalpojumu sniedzējiem, jo komisijas maksa par katru transakciju sasniedz 3-4% no darījuma summas un papildus vēl pastāv fiksēta mēneša abonēšanas maksa kas var sasniegt 10 eiro par vienu POS terminālu, kas ir nesamērīgā liela summa pret vidējo apgrozījumu konkrētajā tirdzniecības vietā. Tas būtiski samazina uzņēmuma peļņu un rada papildu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Apkalpošanas sarežģītība un tehniskās problēmas. Tirdzniecības automātu aprīkošana ar POS termināliem nozīmē arī to, ka nepieciešama regulāra tehniskā apkope un uzturēšana, ko veic apkalpojošais dienests un, ņemot vērā, ka tirdzniecības automāti atrodas visā Latvijas teritorijā (bieži arī tālu no lielajam pilsētām), to aprīkošana prasīs lielas investīcijas, kas ir nesamērīgas ar ieņēmumiem. Tirdzniecības automāti, kas darbojas dažādās atrašanās vietās, bieži vien ar ierobežotu piekļuvi internetam, var saskarties ar savienojuma problēmām, kas izraisītu darījumu kavēšanos vai pat pilnīgu sistēmas nedarbošanos. Tas palielina risku, ka klienti nespēs veikt pirkumus, kas savukārt samazinās uzņēmuma ienākumus un apgrūtinās operatīvo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argumentus, mēs uzskatām, ka plānotie likuma grozījumi esošajā redakcijā nav samērīgi un radītu būtisku negatīvu ietekmi tādu uzņēmumu darbībai, kuriem  darbības specifika saistīta ar tirdzniecības vietām, kurās ir zems apgrozījumu ar zemu darījumu vērtību. Tāpēc aicinām neapgrūtināt uzņēmējdarbību vai nesekmēt šādu pakalpojumu iznīcināšanu un nenoteikt prasības aprīkot šādas tirdzniecības vietas ar POS termināliem.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pievēršam uzmanību, ka viena remināla apkalpošana (neskaitot sakaru uc komunālus maksājumus) uzņēmumam ar 50.000 apgrozījumu izmaksātu bankas apkalpošanas pakalpojumā 500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Latvijas Tirgotāju asociācijas viedokli, ir precizēta sākotnējā likumprojektā iekļautā likuma "Par nodokļiem un nodevām" 30.panta 1.</w:t>
            </w:r>
            <w:r w:rsidR="00000000" w:rsidRPr="00000000" w:rsidDel="00000000">
              <w:rPr>
                <w:vertAlign w:val="superscript"/>
                <w:rtl w:val="0"/>
              </w:rPr>
              <w:t xml:space="preserve">7</w:t>
            </w:r>
            <w:r w:rsidR="00000000" w:rsidRPr="00000000" w:rsidDel="00000000">
              <w:rPr>
                <w:rtl w:val="0"/>
              </w:rPr>
              <w:t xml:space="preserve"> daļas redakcija, nosakot, ka nodokļu maksātājam būs jānodrošina iespēja norēķināties arī bezskaidrā naudā tikai tajos tirdzniecības automātos, kuru iepriekšējā pārskata gada apgrozījums pārsniedz 50 000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Subjektam ir pienākums Ministru kabineta noteiktajos gadījumos un kārtībā iesniegt sliekšņa deklarāciju Valsts ieņēmumu dienestam, izmantojot Finanšu izlūkošanas dienesta Finanšu izlūkošanas datu saņemšanas un analīzes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likuma 22.</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noteikt, ka subjektam ir pienākums Ministru kabineta noteiktajos gadījumos un kārtībā iesniegt sliekšņa deklarāciju Valsts ieņēmumu dienestam, izmantojot Finanšu izlūkošanas dienesta Finanšu izlūkošanas datu saņemšanas un analīzes sistēmu. Savukārt piedāvātā likuma  22.</w:t>
            </w:r>
            <w:r w:rsidR="00000000" w:rsidRPr="00000000" w:rsidDel="00000000">
              <w:rPr>
                <w:vertAlign w:val="superscript"/>
                <w:rtl w:val="0"/>
              </w:rPr>
              <w:t xml:space="preserve">2</w:t>
            </w:r>
            <w:r w:rsidR="00000000" w:rsidRPr="00000000" w:rsidDel="00000000">
              <w:rPr>
                <w:rtl w:val="0"/>
              </w:rPr>
              <w:t xml:space="preserve"> panta otrās daļas redakcija paredz, ka Valsts ieņēmumu dienests saņemtos ziņojumus un sliekšņa deklarācijas izmanto, lai atklātu un novērstu likumpārkāpumus, kuru rezultātā samazināts budžetā iemaksājamā nodokļa apmērs vai palielināts no budžeta atmaksājamā nodokļa apmērs un par kuriem atbildība paredzēta šajā likumā vai konkrēto nodokļu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anotācijas 1.3. apakšpunktā ietvertā skaidrojuma izriet, ka ar šiem grozījumiem ir plānots paplašināt subjektu loku un gadījumus, kuriem iestājoties subjektiem Valsts ieņēmumu dienestā būs jāsniedz sliekšņa deklarācija, tai skaitā noteikt, ka sliekšņa deklarācija būs jāsniedz, ja klienta veiktais skaidras naudas darījums būs 750 eiro vai vairāk. Šāda apstrāde tiks veikta, lai Valsts ieņēmumu dienests administratīvajā procesā atklātu un novērstu likumpārkāpumus (nodrošinātu nodokļu nemaksāšanas novēršanu un labprātīgas nodokļu nomaksas veicināšanu).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personas datu apstrādei ir jāatbilst visiem Vispārīgās datu aizsardzības regulas 5.pantā minētajiem principiem, bet saistībā ar iestādes īstenoto administratīvā pārkāpuma procesu likuma "Par fizisko personu datu apstrādi kriminālprocesā un administratīvā pārkāpuma procesā" principiem. Tai skaitā personas datu apstrādei ir jāatbilst likumīguma un godprātības principam, bet tiesību aktiem, kuros noregulēta apstrāde, ir jāatbilst sabiedrības interešu mērķim un jābūt samērīgiem ar izvirzīto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skatījumā, augstāk minētais skaidras naudas darījumu slieksnis ir norādīts pārāk zems un kopumā skars ļoti plašu subjektu un tā klientu loku. Kas savukārt liecina par to, ka tiks īstenota dziļa iejaukšanās personu pamattiecībās, kas, pirmšķietami, nav samērīga ar norādīto apstrādes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Inspekcija uzskata, ka ir nesamērīgi apstrādāt plašus personas datus, kuru apstrāde primāri tiek veikta, lai atklātu smagus noziegumus, nolūkā veikt administratīvo procesu. Proti, lai nodrošinātu samērīgumu, būtu nepieciešams sašaurināt vārda "likumpārkāpums"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nesaskaņo Likumprojekta 1. pantā, izņemot grozījumus normas pirmajā daļā, iekļauto grozījumu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likuma "Par nodokļiem un nodevām" 22.</w:t>
            </w:r>
            <w:r w:rsidR="00000000" w:rsidRPr="00000000" w:rsidDel="00000000">
              <w:rPr>
                <w:vertAlign w:val="superscript"/>
                <w:rtl w:val="0"/>
              </w:rPr>
              <w:t xml:space="preserve">2</w:t>
            </w:r>
            <w:r w:rsidR="00000000" w:rsidRPr="00000000" w:rsidDel="00000000">
              <w:rPr>
                <w:rtl w:val="0"/>
              </w:rPr>
              <w:t xml:space="preserve"> panta grozījumi paredz pilnvarojumu Ministru kabinetam noteikt kārtību un gadījumus, kad iesniedzama sliekšņa deklarācija Valsts ieņēmumu dienestam. Tādējādi ir precizēta anotācija, uzsverot, ka diskusija par šiem gadījumiem, tostarp skaidras naudas darījumu slieksni, īstenojama tajā brīdī, kad tiks izstrādāti atbilstošie grozījumi Ministru kabineta 2021.gada 17.augusta noteikumos Nr.550 "Noteikumi par aizdomīgu darījumu ziņojumu un sliekšņa deklarācijas iesniegšanas kārtību un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uzsvērt, ka Valsts ieņēmumu dienesta galvenais uzdevums ir nodrošināt Valsts ieņēmumu dienesta administrēto valsts nodokļu, nodevu un citu valsts noteikto obligāto maksājumu iekasēšanu Latvijas teritorijā un uz muitas robežas, kā arī nodokļu, nodevu un citu obligāto maksājumu iekasēšanu Eiropas Savienības budžetam (</w:t>
            </w:r>
            <w:r w:rsidR="00000000" w:rsidRPr="00000000" w:rsidDel="00000000">
              <w:rPr>
                <w:i w:val="1"/>
                <w:rtl w:val="0"/>
              </w:rPr>
              <w:t xml:space="preserve">skatīt likuma "Par Valsts ieņēmumu dienestu" 2.panta 1.punktu</w:t>
            </w:r>
            <w:r w:rsidR="00000000" w:rsidRPr="00000000" w:rsidDel="00000000">
              <w:rPr>
                <w:rtl w:val="0"/>
              </w:rPr>
              <w:t xml:space="preserve">). Savukārt nodokļu maksātāja pienākums ir aprēķināt maksājamo (iemaksājamo) nodokļu summas un noteiktajā termiņā, un pilnā apmērā tās nomaksāt (</w:t>
            </w:r>
            <w:r w:rsidR="00000000" w:rsidRPr="00000000" w:rsidDel="00000000">
              <w:rPr>
                <w:i w:val="1"/>
                <w:rtl w:val="0"/>
              </w:rPr>
              <w:t xml:space="preserve">skatīt likuma "Par nodokļiem un nodevām" 15.panta pirmās daļas 1. un 2.punkt</w:t>
            </w:r>
            <w:r w:rsidR="00000000" w:rsidRPr="00000000" w:rsidDel="00000000">
              <w:rPr>
                <w:rtl w:val="0"/>
              </w:rPr>
              <w:t xml:space="preserv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konstatētu, ka nodokļu maksātājs ir izvairījies no nodokļu vai nodevu maksāšanas (jeb šajā gadījumā – ir izdarījis likumpārkāpumu), Valsts ieņēmumu dienests, pamatojoties uz  izveidoto personas datu izvērtējumu nodokļu ieņēmumu risku jomā, var pieņemt lēmumu par nodokļu kontroles uzsākšanu vai nodokļu revīzijas (audita) veikšanu. Abos šajos gadījumos – gan nodokļu kontrolē, gan nodokļu revīzijā (auditā) – nodokļu administrācijas pārbaude tiek īstenota administratīvajā procesā, kuras rezultātā, ja tiek konstatēts likumpārkāpums – nodokļu maksātājam papildus aprēķina budžetā maksājamo nodokli, nokavējuma naudu vai soda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iespējams sašaurināt likuma "Par nodokļiem un nodevām" 22.</w:t>
            </w:r>
            <w:r w:rsidR="00000000" w:rsidRPr="00000000" w:rsidDel="00000000">
              <w:rPr>
                <w:vertAlign w:val="superscript"/>
                <w:rtl w:val="0"/>
              </w:rPr>
              <w:t xml:space="preserve">2</w:t>
            </w:r>
            <w:r w:rsidR="00000000" w:rsidRPr="00000000" w:rsidDel="00000000">
              <w:rPr>
                <w:rtl w:val="0"/>
              </w:rPr>
              <w:t xml:space="preserve"> panta otrajā daļā minētā vārda "likumpārkāpums"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Krimināllikumā netiek lietots jēdziens "noziedzīgi nodarījumi valsts ieņēmumu jomā", līdz ar to lūgums vismaz anotācijā sniegt skaidrojumu par to, kādi Krimināllikuma panti tiek apzīmēti ar šo jēdzienu vai lietot definīciju atbilstoši Krimināllikumā noteiktajam: "Noziedzīgi nodarījumi tautsaimniecībā".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jau šobrīd anotācijā ir skaidrots, ka saskaņā ar Kriminālprocesa likuma 386.panta 7.punktu Valsts ieņēmumu dienesta nodokļu un muitas policija ir izmeklēšanas iestāde, kuras amatpersonas atbilstoši minētā likuma 387.panta septītajai daļai izmeklē tostarp noziedzīgus nodarījumus </w:t>
            </w:r>
            <w:r w:rsidR="00000000" w:rsidRPr="00000000" w:rsidDel="00000000">
              <w:rPr>
                <w:b w:val="1"/>
                <w:rtl w:val="0"/>
              </w:rPr>
              <w:t xml:space="preserve">valsts ieņēmumu jomā</w:t>
            </w:r>
            <w:r w:rsidR="00000000" w:rsidRPr="00000000" w:rsidDel="00000000">
              <w:rPr>
                <w:rtl w:val="0"/>
              </w:rPr>
              <w:t xml:space="preserve">, tomēr, ievērojot Tieslietu ministrijas iebildumu, anotācija ir papildināta ar skaidrojumu, kuri Krimināllikuma panti tiek apzīmēti ar šo jēdzienu "noziedzīgi nodarījumi valsts ieņēmumu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šie panti ir Krimināllikuma 177.pants (krāpšana), 195.pants (noziedzīgi iegūtu līdzekļu legalizēšana), 217.pants (grāmatvedības un statistiskās informācijas noteikumu pārkāpšana), 217.</w:t>
            </w:r>
            <w:r w:rsidR="00000000" w:rsidRPr="00000000" w:rsidDel="00000000">
              <w:rPr>
                <w:vertAlign w:val="superscript"/>
                <w:rtl w:val="0"/>
              </w:rPr>
              <w:t xml:space="preserve">1</w:t>
            </w:r>
            <w:r w:rsidR="00000000" w:rsidRPr="00000000" w:rsidDel="00000000">
              <w:rPr>
                <w:rtl w:val="0"/>
              </w:rPr>
              <w:t xml:space="preserve"> pants (darba samaksas noteikumu pārkāpšana), 218.pants (izvairīšanās no nodokļu un tiem pielīdzināto maksājumu nomaksas), 218.</w:t>
            </w:r>
            <w:r w:rsidR="00000000" w:rsidRPr="00000000" w:rsidDel="00000000">
              <w:rPr>
                <w:vertAlign w:val="superscript"/>
                <w:rtl w:val="0"/>
              </w:rPr>
              <w:t xml:space="preserve">1</w:t>
            </w:r>
            <w:r w:rsidR="00000000" w:rsidRPr="00000000" w:rsidDel="00000000">
              <w:rPr>
                <w:rtl w:val="0"/>
              </w:rPr>
              <w:t xml:space="preserve"> pants (faktiski nenotikuša darījuma uzrādīšana pievienotās vērtības nodokļa deklarācijā) un 219.pants (izvairīšanās no deklarācijas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skaidrojums un pamatojums attiecībā uz informācijas sniegšanu Valsts ieņēmumu dienestam par fizisko personu veiktajām skaidras naudas iemaksām, galvenokārt pamatojumā norādot šī regulējuma nepieciešamību un mērķi. Tomēr, ņemot vērā, ka šis regulējums skar Latvijas Republikas Satversmes 96.pantā ietvertās tiesības uz privātās dzīves neaizskaramību, lūdzam papildināt anotācijā iekļauto informāciju arī ar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mērķi  nevar  sasniegt  ar  citiem,  personas tiesības  un  likumīgās intereses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labums,  ko  gūst  sabiedrība,  ir  lielāks  par  indivīdam  nodarītajiem zaudējumiem.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ir norādījusi Satversmes tiesa ar personas privāto dzīvi saistīto datu apstrāde, tostarp izpaušana, ietilpst personas tiesību uz privātās dzīves neaizskaramību tvērumā </w:t>
            </w:r>
            <w:r w:rsidR="00000000" w:rsidRPr="00000000" w:rsidDel="00000000">
              <w:rPr>
                <w:i w:val="1"/>
                <w:rtl w:val="0"/>
              </w:rPr>
              <w:t xml:space="preserve">(skat.Satversmes tiesas 2018.gada 11.oktobra sprieduma lietā Nr.2017-30-01 11.2.punktu).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likumdevēja izraudzītie līdzekļi ir piemēroti apstrīdētajā normā ietvertā pamattiesību ierobežojuma leģitīmā mērķa sasniegšanai, ja ar konkrēto regulējumu šis mērķis tiek sasniegts </w:t>
            </w:r>
            <w:r w:rsidR="00000000" w:rsidRPr="00000000" w:rsidDel="00000000">
              <w:rPr>
                <w:i w:val="1"/>
                <w:rtl w:val="0"/>
              </w:rPr>
              <w:t xml:space="preserve">(skat. Satversmes tiesas 2021.</w:t>
            </w:r>
            <w:r w:rsidR="00000000" w:rsidRPr="00000000" w:rsidDel="00000000">
              <w:rPr>
                <w:rtl w:val="0"/>
              </w:rPr>
              <w:t xml:space="preserve"> </w:t>
            </w:r>
            <w:r w:rsidR="00000000" w:rsidRPr="00000000" w:rsidDel="00000000">
              <w:rPr>
                <w:i w:val="1"/>
                <w:rtl w:val="0"/>
              </w:rPr>
              <w:t xml:space="preserve">gada 13.</w:t>
            </w:r>
            <w:r w:rsidR="00000000" w:rsidRPr="00000000" w:rsidDel="00000000">
              <w:rPr>
                <w:rtl w:val="0"/>
              </w:rPr>
              <w:t xml:space="preserve"> </w:t>
            </w:r>
            <w:r w:rsidR="00000000" w:rsidRPr="00000000" w:rsidDel="00000000">
              <w:rPr>
                <w:i w:val="1"/>
                <w:rtl w:val="0"/>
              </w:rPr>
              <w:t xml:space="preserve">novembra sprieduma lietā Nr. 2018-18-01 20. punktu)</w:t>
            </w:r>
            <w:r w:rsidR="00000000" w:rsidRPr="00000000" w:rsidDel="00000000">
              <w:rPr>
                <w:rtl w:val="0"/>
              </w:rPr>
              <w:t xml:space="preserve">. Apstrīdētajās  normās  noteiktais  tiesību  ierobežojums  ir  pieļaujams,  ja  tas nepieciešams,  turklāt  nav  nekādu  citu  līdzekļu,  kuri  būtu  tikpat  iedarbīgi  un  kurus izvēloties pamattiesības tiktu ierobežotas mazāk. Izvērtējot  pamattiesību  ierobežojuma  atbilstību  leģitīmajam  mērķim, jāpārliecinās  arī  par  to,  vai  nelabvēlīgās  sekas,  kas  personai  rodas  tās  pamattiesību ierobežojuma rezultātā, nav lielākas par labumu, ko no šā ierobežojuma gūst sabiedrība kopumā </w:t>
            </w:r>
            <w:r w:rsidR="00000000" w:rsidRPr="00000000" w:rsidDel="00000000">
              <w:rPr>
                <w:i w:val="1"/>
                <w:rtl w:val="0"/>
              </w:rPr>
              <w:t xml:space="preserve">(skat. Satversmes tiesas 2011. gada 20. maija sprieduma lietā Nr. 2010-70-01 16.1. un 17.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anotācijā papildināto izvērtējumu par tiesībām uz privātās dzīves ierobežojuma samērīgumu.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 ietekmi uz plašu fizisko un juridisko personu loku, kā arī tā nozīmīgo plānoto ietekmi uz ēnu ekonomikas mazināšanu Latvijā, kas norādīta Ēnu ekonomikas ierobežošanas plānā 2024.-2027.gadam (turpmāk - plāns), lūdzu paredzēt likuma ietekmes ex-post izvērtējumu. Izvērtējums ir veicams ar mērķi noskaidrot, vai šī likumprojekta mērķis ir sasniegts, kāda ir bijusi tā faktiskā ietekme uz mērķa grupām un vai ir sasniegti plānā noteiktie rezultatīvie rādītāji, kas attiecas uz šiem likuma grozījumiem. Izvērtējuma veikšanas laiku lūdzu plānot tā, lai tā rezultātus varētu izmantot informatīvā ziņojuma sagatavošanā, kas noteikts Ministru kabineta 2024.gada 25.janvāra rīkojuma Nr.72 6.punktā (Finanšu ministrijai sagatavot un finanšu ministram līdz 2028. gada 1. septembrim iesniegt noteiktā kārtībā Ministru kabinetā informatīvo ziņojumu ar gala ietekmes izvērtējumu par plāna pasākumu īstenošanu). Izvērtējuma veikšanu iespējams plānot kā ārpakalpojumu vai kā Finanšu ministrijā veicamu uzdevumu, atkarībā no pieejamajiem resursiem. 2025.gadā Valsts kanceleja publicēs metodiskos ieteikumus tiesību aktu ex-post izvērtējumu veikšanai un piedāvās valsts pārvaldes darbiniekiem mācības šīs metodikas piemērošanai.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anotācijas 1.5.punktu, kurā sniegts skaidrojums par plānoto regulējuma pēcpārbaudes (ex-post)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noteikt jaunu personas pamattiesību ierobežojumu (fizisko personu skaidras naudas iemaksu kontrole nodokļu nomaksas nodrošināšanai), vienlaikus likumprojekta anotācijas 8.1.13. apakšpunktā ir noteikts, ka  22.</w:t>
            </w:r>
            <w:r w:rsidR="00000000" w:rsidRPr="00000000" w:rsidDel="00000000">
              <w:rPr>
                <w:vertAlign w:val="superscript"/>
                <w:rtl w:val="0"/>
              </w:rPr>
              <w:t xml:space="preserve">3</w:t>
            </w:r>
            <w:r w:rsidR="00000000" w:rsidRPr="00000000" w:rsidDel="00000000">
              <w:rPr>
                <w:rtl w:val="0"/>
              </w:rPr>
              <w:t xml:space="preserve"> panta trešajā daļā jau šobrīd ir noteikts datu 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tā kā ir paredzēta jauna personas datu apstrāde bez atbilstoša izvērtējuma, nav korekti anotācijā ietvert šādu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anotācijas 8.1.13. apakšpunktā ir nepieciešams ietvert vērtējumu par jaunā personas datu apstrādes regulējuma atbilstību Vispārīgās datu aizsardzības regulas  5. punkta principiem un 6. pantam. Tātad, te vajadzētu norādīt par kādām personām un kādā apjomā dati tiks apstrādāti. Kāds ir minimāli nepieciešamais datu apjoms, kas būs nepieciešams informācijas atlasei un pieprasījuma izvērtēšanai. Noteikt, cik ilgi norādītā nolūka sasniegšanai ir nepieciešams glabāt konkrētos datus. Pamatojoties uz kuru Vispārīgās datu aizsardzības regulas 6. panta 1. punkta apakšpunktu tiks veikta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Atbilstošs izvērtējums un skaidrojums ir sniedzams arī attiecībā uz sliekšņa deklarācijām, kas saturēs fizisko personu datus, ja šos jautājumus regulēs 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anotācijas 8.1.13. apakšpunktā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8.1.13.punktu, kurā ir ietverts skaidrojums par regulējuma atbilstību Eiropas Parlamenta un Padomes Regulas (ES) 2016/679 (2016.gada 27.aprīlis) par fizisku personu aizsardzību attiecībā uz personas datu apstrādi un šādu datu brīvu apriti un ar ko atceļ Direktīvu 95/46/EK (Vispārīgā datu aizsardzības regula) 6.panta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kopumā atbalsta Finanšu ministrijas izstrādāto likumprojektu un saskaņo tā turpmāko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Asociācija nepiekrīt likumprojekta anotācijā norādītajam risinājuma aprakstam par Valsts ieņēmumu dienestam sniedzamajām sliekšņa deklarācijām attiecībā uz piedāvāto individuāla darījuma slieksni 750 eiro apmērā. Asociācija uzskata, ka šāds slieksnis ir neproporcionāli zems un ir nepieciešamas turpmākas diskusijas par šī sliekšņa apmēru, kad tiks uzsākts darbs pie grozījumu Ministru kabineta noteikumos izstrādes.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likuma "Par nodokļiem un nodevām" 22.</w:t>
            </w:r>
            <w:r w:rsidR="00000000" w:rsidRPr="00000000" w:rsidDel="00000000">
              <w:rPr>
                <w:vertAlign w:val="superscript"/>
                <w:rtl w:val="0"/>
              </w:rPr>
              <w:t xml:space="preserve">2</w:t>
            </w:r>
            <w:r w:rsidR="00000000" w:rsidRPr="00000000" w:rsidDel="00000000">
              <w:rPr>
                <w:rtl w:val="0"/>
              </w:rPr>
              <w:t xml:space="preserve"> panta grozījumi paredz pilnvarojumu Ministru kabinetam noteikt kārtību un gadījumus, kad iesniedzama sliekšņa deklarācija Valsts ieņēmumu dienestam. Tādējādi ir precizēta anotācija, uzsverot, ka diskusija par šiem gadījumiem, tostarp skaidras naudas darījumu slieksni, īstenojama tajā brīdī, kad tiks izstrādāti atbilstošie grozījumi Ministru kabineta 2021.gada 17.augusta noteikumos Nr.550 "Noteikumi par aizdomīgu darījumu ziņojumu un sliekšņa deklarācijas iesniegšanas kārtību un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w:t>
            </w:r>
            <w:r w:rsidR="00000000" w:rsidRPr="00000000" w:rsidDel="00000000">
              <w:rPr>
                <w:vertAlign w:val="superscript"/>
                <w:rtl w:val="0"/>
              </w:rPr>
              <w:t xml:space="preserve">2 </w:t>
            </w:r>
            <w:r w:rsidR="00000000" w:rsidRPr="00000000" w:rsidDel="00000000">
              <w:rPr>
                <w:rtl w:val="0"/>
              </w:rPr>
              <w:t xml:space="preserve">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likuma "Par nodokļiem un nodevām" 22.</w:t>
            </w:r>
            <w:r w:rsidR="00000000" w:rsidRPr="00000000" w:rsidDel="00000000">
              <w:rPr>
                <w:vertAlign w:val="superscript"/>
                <w:rtl w:val="0"/>
              </w:rPr>
              <w:t xml:space="preserve">2</w:t>
            </w:r>
            <w:r w:rsidR="00000000" w:rsidRPr="00000000" w:rsidDel="00000000">
              <w:rPr>
                <w:rtl w:val="0"/>
              </w:rPr>
              <w:t xml:space="preserve"> panta desmito daļu, ņemot vērā to, ka likumprojekta "Grozījumi likumā "Par nodokļiem un nodevām"" 1. panta otrā daļa paredz, ka saskaņā ar likuma "Par nodokļiem un nodevām" 22.</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būs iesniedzamas sliekšņa deklarācijas, nevis ziņojumi.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likumprojektā iekļautos grozījumus likuma "Par nodokļiem un nodevām" 22.</w:t>
            </w:r>
            <w:r w:rsidR="00000000" w:rsidRPr="00000000" w:rsidDel="00000000">
              <w:rPr>
                <w:vertAlign w:val="superscript"/>
                <w:rtl w:val="0"/>
              </w:rPr>
              <w:t xml:space="preserve">2</w:t>
            </w:r>
            <w:r w:rsidR="00000000" w:rsidRPr="00000000" w:rsidDel="00000000">
              <w:rPr>
                <w:rtl w:val="0"/>
              </w:rPr>
              <w:t xml:space="preserve"> panta desmitajā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w:t>
            </w:r>
            <w:r w:rsidR="00000000" w:rsidRPr="00000000" w:rsidDel="00000000">
              <w:rPr>
                <w:vertAlign w:val="superscript"/>
                <w:rtl w:val="0"/>
              </w:rPr>
              <w:t xml:space="preserve">2 </w:t>
            </w:r>
            <w:r w:rsidR="00000000" w:rsidRPr="00000000" w:rsidDel="00000000">
              <w:rPr>
                <w:rtl w:val="0"/>
              </w:rPr>
              <w:t xml:space="preserve">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ir izskatījis tiesību akta projektu “Grozījumi likumā “Par nodokļiem un nodevām”” (tiesību akta lietas ID 24-TA-1825) un tā sākotnējās ietekmes (ex-ante) novērtējuma ziņojumu (turpmāk – anotācija) un izsaka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izsaka priekšlikumu no anotācijas svītrot norādi uz konkrētu summu (750 euro vai vairāk), kādā Noziedzīgi iegūtu līdzekļu legalizācijas un terorisma un proliferācijas finansēšanas novēršanas likuma (turpmāk – Likums) subjektiem, kas sniedz maksājumu pakalpojumus Maksājumu pakalpojumu un elektroniskās naudas likuma izpratnē, kuri saistīti ar skaidras naudas darījumiem vai pārrobežu maksājumiem, ir pienākums iesniegt sliekšņa deklarāciju Finanšu izlūkošanas dienesta finanšu izlūkošanas datu saņemšanas un analīzes sistēmā, kas pēc tam pārsūtāma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viens no nozīmīgākajiem informācijas avotiem par tiesību akta nepieciešamību, piemērošanu un ietekmi uz likuma mērķgrupām. Anotācijas mērķis ir apzināt sekas un ietekmi, ko radīs attiecīgais tiesību akta projekts. Finanšu izlūkošanas dienests norāda, ka vēl notiek diskusijas par sliekšņa deklarācijas apmēru, kuru plānots noteikt, izdarot grozījumus Ministru kabineta 2021. gada 17. augusta noteikumos Nr. 550 “Noteikumi par aizdomīgu darījumu ziņojumu un sliekšņa deklarācijas iesniegšanas kārtību un saturu” (turpmāk – MK noteikumi). Ievērojot datu apjoma pieaugumu, ir aktualizēts jautājums par datu kvalitātes nodrošināšanu, kā rezultātā, lai nodrošinātu atbilstošu datu sniegšanu Finanšu izlūkošanas dienestam, Likuma subjektiem pieaug nepieciešamo resursu un laika apjoms, kas jāvelta šo procesu izpildei. Tāpat ietekmēti tiks arī Finanšu izlūkošanas dienesta darbinieku resursi, jo, saņemot sliekšņa deklarācijas, samērā bieži tiek veikta manuāla sliekšņa deklarāciju datu pārbaude pirms šo datu ievades Finanšu izlūkošanas dienesta finanšu izlūkošanas datu saņemšanas un analīzes sistēmā. Kā rezultātā, zemāka sliekšņa noteikšana paaugstina riskus, kas attiecas uz datu kvalitātes nodrošināšanu un iespējām izmantot šos datus likumā paredzētajiem uzdevumiem. Līdz ar to, paredzot anotācijā konkrētu apmēru, aicinām vērtēt iesaistīto iestāžu – Finanšu izlūkošanas dienesta un Valsts ieņēmuma dienesta resursu kapacitāti, kā arī saņemtās un apstrādājamās informācijas apjoma pieaugumu. Ievērojot minēto, kā arī to, ka tiesību akta projekts “Grozījumi likumā “Par nodokļiem un nodevām”” neietver sliekšņa deklarācijas apjomu, Finanšu izlūkošanas dienesta ieskatā nav pamata to ietvert anotācijā un aicina svītrot norādi uz konkrētu sliekšņa deklarācijas apmēru – 750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anotācijā tiek saglabāta norāde uz konkrētu apmēru skaidras naudas darījumu slieksnim, Finanšu izlūkošanas dienests aicina papildināt anotāciju ar izvērtētiem datiem, pamatojot attiecīgā sliekšņa apmēra ietekmi uz ēnu ekonomikas ierobežošanu. Norādāms, ka Finanšu izlūkošanas dienests 2024. gada augustā ir organizējis tikšanās ar kredītiestādēm par iespējamajiem grozījumiem MK noteikumos. Ņemot vērā ieceri ievērojami samazināt noteikumu 14.1.1. apakšpunktā ietverto skaidras naudas darījumu slieksni, par kuru sniedzama sliekšņa deklarācija Finanšu izlūkošanas dienestam, kredītiestādes ir sniegušas aplēses par iespējamo sliekšņu deklarāciju skaita pieaugumu. Pamatojoties uz atsevišķu kredītiestāžu sniegtajām aplēsēm, sliekšņa deklarāciju apjoms varētu pieaugt līdz pat 120 reizēm gadījumā, ja sliekšņa apmērs būtu 1000 euro un 170 reizēm 750 euro sliekšņa gadījumā. 2023. gadā kopumā tika saņemtas aptuveni 22,3 tūkst. sliekšņa deklarācijas, un attiecinot kredītiestāžu sniegtās aplēses uz 2023. gada datiem, potenciālais sliekšņa deklarāciju skaits, ja slieksnis būtu 1000 euro, varētu pārsniegt 2 milj. sliekšņa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likuma "Par nodokļiem un nodevām" 22.</w:t>
            </w:r>
            <w:r w:rsidR="00000000" w:rsidRPr="00000000" w:rsidDel="00000000">
              <w:rPr>
                <w:vertAlign w:val="superscript"/>
                <w:rtl w:val="0"/>
              </w:rPr>
              <w:t xml:space="preserve">2</w:t>
            </w:r>
            <w:r w:rsidR="00000000" w:rsidRPr="00000000" w:rsidDel="00000000">
              <w:rPr>
                <w:rtl w:val="0"/>
              </w:rPr>
              <w:t xml:space="preserve"> panta grozījumi paredz pilnvarojumu Ministru kabinetam noteikt kārtību un gadījumus, kad iesniedzama sliekšņa deklarācija Valsts ieņēmumu dienestam. Tādējādi ir precizēta anotācija, uzsverot, ka diskusija par šiem gadījumiem, tostarp skaidras naudas darījumu slieksni, īstenojama tajā brīdī, kad tiks izstrādāti atbilstošie grozījumi Ministru kabineta 2021.gada 17.augusta noteikumos Nr.550 "Noteikumi par aizdomīgu darījumu ziņojumu un sliekšņa deklarācijas iesniegšanas kārtību un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apakšpunktā citastarp sniegta informācija par Saeimā iesniegtajiem informatīvajiem ziņojumiem par likuma "Par nodokļiem un nodevām" 22.</w:t>
            </w:r>
            <w:r w:rsidR="00000000" w:rsidRPr="00000000" w:rsidDel="00000000">
              <w:rPr>
                <w:vertAlign w:val="superscript"/>
                <w:rtl w:val="0"/>
              </w:rPr>
              <w:t xml:space="preserve">3</w:t>
            </w:r>
            <w:r w:rsidR="00000000" w:rsidRPr="00000000" w:rsidDel="00000000">
              <w:rPr>
                <w:rtl w:val="0"/>
              </w:rPr>
              <w:t xml:space="preserve"> panta praktiskās piemērošanas gaitu un rezultātiem un izdarīts secinājums, ka tā kā no Saeimas nav saņemti iebildumi pret minētajiem informatīvajiem ziņojumiem, secināms, ka, sniedzot fizisko personu konta informāciju, ir izslēgta jebkāda nesamērīga iejaukšanās datu subjekta tiesībās uz privātās dzīves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ierosina precizēt augstāk minēto secinājumu, jo fakts, ka Saeima par informatīvajiem ziņojumiem nav izteikusi iebildumus, nav pamats atzīt, ka ir izslēgta jebkāda nesamērīga iejaukšanās datu subjekta tiesībās uz privātās dzīves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8.1.13.punktu, kurā ir precizēts tajā ietvertais secinājums.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8.1.13. apakšpunktu, norādot tiesisko pamatojumu personas datu apstrādei atbilstoši Vispārīgās datu aizsardzības regulas 6.panta 1.punktam, kā arī sniedzot īsu un kodolīgu skaidrojumu par paredzēto personu datu apstrādi – kādu datu subjektu un kādu kategoriju datus paredz apstrādāt projekts, kādos konkrētos nolūkos. Ņemot vērā, ka projekts var skart plašu datu subjektu skaitu, aicinām anotācijā norādīt informāciju, vai attiecībā uz projekta ietvaros plānoto personas datu apstrādi ir veikts novērtējums par ietekmi uz datu aizsardzību atbilstoši Vispārīgās datu aizsardzības regulas 35.panta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8.1.13.punktu, kurā ir ietverts skaidrojums par regulējuma atbilstību Eiropas Parlamenta un Padomes Regulas (ES) 2016/679 (2016.gada 27.aprīlis) par fizisku personu aizsardzību attiecībā uz personas datu apstrādi un šādu datu brīvu apriti un ar ko atceļ Direktīvu 95/46/EK (Vispārīgā datu aizsardzības regula) 6.panta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jānorāda, ka plānotā datu apstrāde nevarētu radīt augstu risku fizisku personu tiesībām un brīvībām.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pamatojams ar apstākli, ka likuma "Par nodokļiem un nodevām" 22.</w:t>
            </w:r>
            <w:r w:rsidR="00000000" w:rsidRPr="00000000" w:rsidDel="00000000">
              <w:rPr>
                <w:vertAlign w:val="superscript"/>
                <w:rtl w:val="0"/>
              </w:rPr>
              <w:t xml:space="preserve">3</w:t>
            </w:r>
            <w:r w:rsidR="00000000" w:rsidRPr="00000000" w:rsidDel="00000000">
              <w:rPr>
                <w:rtl w:val="0"/>
              </w:rPr>
              <w:t xml:space="preserve"> panta piemērošanas laikā Valsts ieņēmumu dienestā nav konstatēti (reģistrēti) datu aizsardzības pārkāpumi, kas attiecināmi uz kredītiestāžu un maksājumu pakalpojumu sniedzēju sniegtās informācijas, tai skaitā fizisku personu datu prettiesisku izmantošanu, tostarp nesamērīgu iejaukšanos datu subjekta tiesībās. Tāpat jāuzsver, ka jau šobrīd likuma 22.</w:t>
            </w:r>
            <w:r w:rsidR="00000000" w:rsidRPr="00000000" w:rsidDel="00000000">
              <w:rPr>
                <w:vertAlign w:val="superscript"/>
                <w:rtl w:val="0"/>
              </w:rPr>
              <w:t xml:space="preserve">3</w:t>
            </w:r>
            <w:r w:rsidR="00000000" w:rsidRPr="00000000" w:rsidDel="00000000">
              <w:rPr>
                <w:rtl w:val="0"/>
              </w:rPr>
              <w:t xml:space="preserve"> panta ceturtajā daļā ir noteiktas piemērotas garantijas datu subjekta pamattiesībām un interesēm, proti, nosakot, ka Valsts ieņēmumu dienests veic nepieciešamos administratīvos, tehniskos un organizatoriskos pasākumus un nodrošina šajā pantā noteiktajā kārtībā saņemtās informācijas aizsardzību, lai novērstu neatļautu piekļūšanu šai informācijai, kā arī novērstu neatļautu tās grozīšanu, izplatīšanu vai iznīcināšanu.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24-TA-1825</w:t>
    </w:r>
    <w:r>
      <w:br/>
    </w:r>
    <w:r w:rsidR="00000000" w:rsidRPr="00000000" w:rsidDel="00000000">
      <w:rPr>
        <w:rtl w:val="0"/>
      </w:rPr>
      <w:t xml:space="preserve">11.10.2024. 15.15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24-TA-1825</w:t>
    </w:r>
    <w:r>
      <w:br/>
    </w:r>
    <w:r w:rsidR="00000000" w:rsidRPr="00000000" w:rsidDel="00000000">
      <w:rPr>
        <w:rtl w:val="0"/>
      </w:rPr>
      <w:t xml:space="preserve">11.10.2024. 15.15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Izziņa_24-TA-1825.docx</dc:title>
</cp:coreProperties>
</file>

<file path=docProps/custom.xml><?xml version="1.0" encoding="utf-8"?>
<Properties xmlns="http://schemas.openxmlformats.org/officeDocument/2006/custom-properties" xmlns:vt="http://schemas.openxmlformats.org/officeDocument/2006/docPropsVTypes"/>
</file>