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24-TA-487: Plāna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Plāns romu stratēģiskā ietvara pasākumu īstenošanai 2024.-2027. gadam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Atbildīgajai institūcijai un līdzatbildīgajām institūcijām plānā paredzēto pasākumu īstenošanu 2024. gadā nodrošināt atbilstoši piešķirtajiem valsts budžeta līdzekļiem. Jautājumu par papildu valsts budžeta līdzekļu piešķiršanu plāna īstenošanai 2025., 2026. un 2027. gadā skatīt likumprojekta "Par valsts budžetu 2025. gadam un budžeta ietvaru 2025., 2026. un 2027. gadam" sagatavošanas procesā kopā ar visu ministriju un citu centrālo valsts iestāžu prioritārajiem pasākumiem, ievērojot valsts budžeta finansiālās iespējas.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3.punkts ir papildināms ar teikumu šādā redakcijā: "Savukārt, ja budžeta likumprojekta sagatavošanas procesā netiek atbalstīta papildu finansējuma piešķiršana, plānā paredzētais ir nodrošināms atbilstoši iesaistīto institūciju rīcībā esošajam finansējumam."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rīkojuma projekta 3.punkts.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Atbildīgajai institūcijai un līdzatbildīgajām institūcijām plānā paredzēto pasākumu īstenošanu 2024. gadā nodrošināt atbilstoši piešķirtajiem valsts budžeta līdzekļiem. Jautājumu par papildu valsts budžeta līdzekļu piešķiršanu plāna īstenošanai 2025., 2026. un 2027. gadā skatīt likumprojekta "Par valsts budžetu 2025. gadam un budžeta ietvaru 2025., 2026. un 2027. gadam" sagatavošanas procesā kopā ar visu ministriju un citu centrālo valsts iestāžu prioritārajiem pasākumiem, ievērojot valsts budžeta finansiālās iespējas. Savukārt, ja budžeta likumprojekta sagatavošanas procesā netiek atbalstīta papildu finansējuma piešķiršana, plānā paredzētais ir nodrošināms atbilstoši iesaistīto institūciju rīcībā esošajam finansējumam.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21.lpp aizstāt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papildu valsts budžeta līdzekļu piešķiršanu Plānā paredzēto pasākumu īstenošanai 2025.gadā un turpmāk skatāms   Ministru   kabinetā   gadskārtējā   valsts   budžeta   un   vidēja   termiņa   budžeta   ietvara   likumprojekta   sagatavošanas   un izskatīšanas procesā kopā ar visu ministriju un centrālo valsts iestāžu iesniegtajiem priekšlikumiem prioritārajiem pasākumiem atbilstoši valsts budžeta finansiālajām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izteikt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“Jautājumu par papildu valsts budžeta līdzekļu piešķiršanu plāna īstenošanai 2025., 2026. un 2027. gadā skatīt likumprojekta "Par valsts budžetu 2025. gadam un budžeta ietvaru 2025., 2026. un 2027. gadam" sagatavošanas procesā kopā ar visu ministriju un citu centrālo valsts iestāžu prioritārajiem pasākumiem, ievērojot valsts budžeta finansiālās iespējas. Savukārt, ja budžeta likumprojekta sagatavošanas procesā netiek atbalstīta papildu finansējuma piešķiršana, plānā paredzētais ir nodrošināms atbilstoši iesaistīto institūciju rīcībā esošajam finansējumam.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norāda, ka līdz ar Eiropas Savienības (turpmāk – ES) vispārējās izņēmuma klauzulas, kas ļāva atkāpties no ES Līgumos noteiktajiem vispārējās valdības budžeta deficīta un parāda ierobežojumiem, atcelšanu, ir spēkā ES Stabilitātes un izaugsmes pakta (turpmāk – SIP) nosacījumi. Š. g. 30. aprīlī ir stājušies spēkā ES SIP reformas ietvaros pieņemtie tiesību akti (jaunie ES fiskālie noteikumi), kas līdz ar Fiskālās disciplīnas likuma nosacījumiem būs jāņem vērā sagatavojot likumprojektu “Par valsts budžetu 2025. gadam un budžeta ietvaru 2025., 2026. un 2027. gadam”. Iespējas piešķirt papildu finanšu resursus turpmākajos gados būs ierobežotas un attiecīgi visas nozaru ministrijas tiks aicinātas jaunas prioritātes nodrošināt, pamatā pārskatot jau piešķirto finansējumu, veicot bāzes izdevumu pārskatīšanu.”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V.nodaļas “Ietekmes novērtējums uz valsts un pašvaldību budžetu” ievaddaļa izteikta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“Jautājumu par papildu valsts budžeta līdzekļu piešķiršanu Plāna īstenošanai 2025., 2026. un 2027.gadā skatīt likumprojekta “Par valsts budžetu 2025.gadam un budžeta ietvaru 2025., 2026. un 2027.gadam” sagatavošanas procesā kopā ar visu ministriju un citu centrālo valsts iestāžu prioritārajiem pasākumiem, ievērojot valsts budžeta finansiālās iespējas. Savukārt, ja budžeta likumprojekta sagatavošanas procesā netiek atbalstīta papildu finansējuma piešķiršana, Plānā paredzētais ir nodrošināms atbilstoši iesaistīto institūciju rīcībā esošajam finansējumam.</w:t>
            </w:r>
            <w:r w:rsidR="00000000" w:rsidRPr="00000000" w:rsidDel="00000000">
              <w:rPr>
                <w:sz w:val="20"/>
                <w:vertAlign w:val="superscript"/>
                <w:rtl w:val="0"/>
              </w:rPr>
              <w:t xml:space="preserve">70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0"/>
                <w:vertAlign w:val="superscript"/>
                <w:rtl w:val="0"/>
              </w:rPr>
              <w:t xml:space="preserve">70</w:t>
            </w:r>
            <w:r w:rsidR="00000000" w:rsidRPr="00000000" w:rsidDel="00000000">
              <w:rPr>
                <w:rtl w:val="0"/>
              </w:rPr>
              <w:t xml:space="preserve"> Finanšu ministrija norāda, ka līdz ar Eiropas Savienības vispārējās izņēmuma klauzulas, kas ļāva atkāpties no Eiropas Savienības Līgumos noteiktajiem vispārējās valdības budžeta deficīta un parāda ierobežojumiem, atcelšanu, ir spēkā Eiropas Savienības Stabilitātes un izaugsmes pakta (turpmāk – SIP) nosacījumi. 2024.gada 30.aprīlī ir stājušies spēkā Eiropas Savienības SIP reformas ietvaros pieņemtie tiesību akti (jaunie Eiropas Savienības fiskālie noteikumi), kas līdz ar Fiskālās disciplīnas likuma nosacījumiem būs jāņem vērā sagatavojot likumprojektu „Par valsts budžetu 2025.gadam un budžeta ietvaru 2025., 2026. un 2027.gadam”. Iespējas piešķirt papildu finanšu resursus turpmākajos gados būs ierobežotas un attiecīgi visas nozaru ministrijas tiks aicinātas jaunas prioritātes nodrošināt, pamatā pārskatot jau piešķirto finansējumu, veicot bāzes izdevumu pārskatīšanu.”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V.sadaļas "Ietekmes novērtējums uz valsts un pašvaldību budžetu" 2.tabulas "Detalizēts aprēķins Plānā iekļauto uzdevumu īstenošanai nepieciešamajam papildu finansējumam" 4.5.pasākumam kolonnā "Aprēķins" norādītos detalizētos aprēķinus, jo šobrīd ietvertie neveido korektu pieprasītā papildus finansējuma kopsummu, kā arī nesniedz priekštatu par vienam pasākumam plānotā finansējuma sadalījumu pa apakšpozīcijām.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VI.nodaļas “Ietekmes novērtējums uz valsts un pašvaldību budžetu” 2.tabulas “Detalizēts aprēķins Plānā iekļauto uzdevumu īstenošanai nepieciešamajam papildu finansējumam” 4.5.pasākuma “Mazākumtautību un sabiedrības saliedētības programma” sadaļa “Aprēķins” precizēta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“Mazākumtautību un sabiedrības saliedētības programmai nepieciešami ir papildu finanšu līdzekļi 350 000 </w:t>
            </w:r>
            <w:r w:rsidR="00000000" w:rsidRPr="00000000" w:rsidDel="00000000">
              <w:rPr>
                <w:i w:val="1"/>
                <w:rtl w:val="0"/>
              </w:rPr>
              <w:t xml:space="preserve">euro</w:t>
            </w:r>
            <w:r w:rsidR="00000000" w:rsidRPr="00000000" w:rsidDel="00000000">
              <w:rPr>
                <w:rtl w:val="0"/>
              </w:rPr>
              <w:t xml:space="preserve"> apmērā, lai atbalsts projektu konkursos tiktu sniegts vismaz 400 mērķa grupas personām, sniedzot finansējumu projektu īstenotājiem projektu konkursa rezultātā. Administratīvie izdevumi plānoti 8,5% apmērā, t.i. ~ 30 000 </w:t>
            </w:r>
            <w:r w:rsidR="00000000" w:rsidRPr="00000000" w:rsidDel="00000000">
              <w:rPr>
                <w:i w:val="1"/>
                <w:rtl w:val="0"/>
              </w:rPr>
              <w:t xml:space="preserve">euro</w:t>
            </w:r>
            <w:r w:rsidR="00000000" w:rsidRPr="00000000" w:rsidDel="00000000">
              <w:rPr>
                <w:rtl w:val="0"/>
              </w:rPr>
              <w:t xml:space="preserve"> (Programmas vadītāja atlīdzība 28 924</w:t>
            </w:r>
            <w:r w:rsidR="00000000" w:rsidRPr="00000000" w:rsidDel="00000000">
              <w:rPr>
                <w:i w:val="1"/>
                <w:rtl w:val="0"/>
              </w:rPr>
              <w:t xml:space="preserve"> euro</w:t>
            </w:r>
            <w:r w:rsidR="00000000" w:rsidRPr="00000000" w:rsidDel="00000000">
              <w:rPr>
                <w:rtl w:val="0"/>
              </w:rPr>
              <w:t xml:space="preserve">; Programmas administrēšanas tehniskās izmaksas, tai skaitā izdevumi par informāciju sistēmu uzturēšanu, sakaru un interneta pakalpojumiem, komunālajiem maksājumiem un telpu nomu, kuras tiek daļēji attiecinātas no SIF administrētajām programmām piešķirtā finansējuma – 1 076 </w:t>
            </w:r>
            <w:r w:rsidR="00000000" w:rsidRPr="00000000" w:rsidDel="00000000">
              <w:rPr>
                <w:i w:val="1"/>
                <w:rtl w:val="0"/>
              </w:rPr>
              <w:t xml:space="preserve">euro</w:t>
            </w:r>
            <w:r w:rsidR="00000000" w:rsidRPr="00000000" w:rsidDel="00000000">
              <w:rPr>
                <w:rtl w:val="0"/>
              </w:rPr>
              <w:t xml:space="preserve">). Maksimālais viena projekta apjoms indikatīvi 20 000 </w:t>
            </w:r>
            <w:r w:rsidR="00000000" w:rsidRPr="00000000" w:rsidDel="00000000">
              <w:rPr>
                <w:i w:val="1"/>
                <w:rtl w:val="0"/>
              </w:rPr>
              <w:t xml:space="preserve">euro</w:t>
            </w:r>
            <w:r w:rsidR="00000000" w:rsidRPr="00000000" w:rsidDel="00000000">
              <w:rPr>
                <w:rtl w:val="0"/>
              </w:rPr>
              <w:t xml:space="preserve"> (projektu izmaksas paredzētas indikatīvi šādu aktivitāšu nodrošināšanai: plānoto pasākumu/lekciju/ meistarklašu telpu īrei; plānoto pasākumu vadītāju/lektoru/ meistarklašu vadītāju atalgojumam; materiālu nodrošināšana radošajām darbnīcām/meistarklasēm/ pasākumiem; tehniskais nodrošinājums pasākumos; transporta izdevumiem; ēdināšanas izmaksas; projekta administratīvo izdevumu segšanai – projekta vadība, grāmatvedība, sakaru izdevumi). Projektu īstenošanas periods indikatīvi 12-16 mēneši. Tiks atbalstīti indikatīvi 16 iesniegtie projekti, kopā sastādot ~ 320 000 </w:t>
            </w:r>
            <w:r w:rsidR="00000000" w:rsidRPr="00000000" w:rsidDel="00000000">
              <w:rPr>
                <w:i w:val="1"/>
                <w:rtl w:val="0"/>
              </w:rPr>
              <w:t xml:space="preserve">euro</w:t>
            </w:r>
            <w:r w:rsidR="00000000" w:rsidRPr="00000000" w:rsidDel="00000000">
              <w:rPr>
                <w:rtl w:val="0"/>
              </w:rPr>
              <w:t xml:space="preserve">. Kopā nepieciešami ~ 350 000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plāna 4.11.  punkta redakcijā norādīt "Izstrādāts romu bērnu obligātā pirmsskolas izglītības vecuma izglītības ieguves iespēju  novērtējums".  Pamatojums - IZM atbildības jomā nav  pirmsskolas izglītības bērnu reģistrs.  Izglītības iestādes Valsts izglītības informācijas sistēmā ievada ziņas par obligātā pirmsskolas vecuma bērniem, tādējādi monitoringa rezultātā ir iespējams veikt obligātā pirmsskolas izglītības vecuma izglītības ieguves iespēju  novērtējumu.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IV.nodaļas “Pasākumi plāna mērķa sasniegšanai” 4.11.pasākuma “Romu skolēnu izglītības monitorings” sadaļa “Rezultatīvais rādītājs” izteikta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“Izstrādāts romu bērnu obligātā pirmsskolas izglītības vecuma izglītības ieguves iespēju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IV.sadaļas “Pasākumi plāna mērķa sasniegšanai” ailē  “Izpildes termiņš (līdz pusgadam)” 4.13.pasākumam "Romu nodarbinātības veicināšana" ir norādīts izpildes termiņš 2027.gada II pusgads, savukārt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4.3.3.2. pasākuma „Nelabvēlīgākā situācijā esošu bezdarbnieku un ekonomiski neaktīvo iedzīvotāju iekļaušanās darba tirgū sekmēšana” īstenošanas termiņš ir 2029.gada 31.decembris. Attiecīgi lūdzam precizēt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Plāna projekts aptver laika posmu no 2024.gada līdz 2027.gadam, Plāna projekta IV.nodaļas “Pasākumi plāna mērķa sasniegšanai” 4.13.pasākuma “Romu nodarbinātības veicināšana” ailē “Izpildes termiņš (līdz pusgadam)” pievienota zemsvītras atsauce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vertAlign w:val="superscript"/>
                <w:rtl w:val="0"/>
              </w:rPr>
              <w:t xml:space="preserve">58</w:t>
            </w:r>
            <w:r w:rsidR="00000000" w:rsidRPr="00000000" w:rsidDel="00000000">
              <w:rPr>
                <w:rtl w:val="0"/>
              </w:rPr>
              <w:t xml:space="preserve"> Saskaņā ar Eiropas Savienības kohēzijas politikas programmas 2021.–2027.gadam 4.3.3.specifiskā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4.3.3.2.pasākumu „Nelabvēlīgākā situācijā esošu bezdarbnieku un ekonomiski neaktīvo iedzīvotāju iekļaušanās darba tirgū sekmēšana” kopējais pasākuma īstenošanas laiks ir līdz 2029.gada 31.decembrim.”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V.sadaļas “Ietekmes novērtējums uz valsts un pašvaldību budžetu” 4.13.pasākumam Labklājības ministrijas speciālā budžeta apakšprogrammai 04.02.00 “Nodarbinātības speciālais budžets” norādīt pasākumam plānoto un/vai nepieciešamo papildu finansējuma apmēru, vai arī papildināt ar atsauci, kāpēc finansējuma apmēru nevar norādīt.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VI.nodaļas “Ietekmes novērtējums uz valsts un pašvaldību budžetu” 4.13.pasākums papildināts ar zemsvītras atsauci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sz w:val="20"/>
                <w:vertAlign w:val="superscript"/>
                <w:rtl w:val="0"/>
              </w:rPr>
              <w:t xml:space="preserve">81</w:t>
            </w:r>
            <w:r w:rsidR="00000000" w:rsidRPr="00000000" w:rsidDel="00000000">
              <w:rPr>
                <w:rtl w:val="0"/>
              </w:rPr>
              <w:t xml:space="preserve"> Finansējums romu mērķa grupai netika noteikts, jo šīs personas aktīvās darba tirgus politikas pasākumu kontekstā ir daļa no kopējās mērķa grupas – Nodarbinātības valsts aģentūrā reģistrētie bezdarbnieki un darba meklētāji, ieskaitot romu tautības pārstāvjus.”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V.sadaļas “Ietekmes novērtējums uz valsts un pašvaldību budžetu” 4.13.pasākumam Labklājības ministrijas pamatbudžeta apakšprogrammai 74.06.00 „Atveseļošanas un noturības mehānisma (ANM) projekti un pasākumi” svītrot 76.atsaucē sniegto informāciju un papildināt ar informāciju par  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īstenošanu. Vienlaikus lūdzam papildināt atsauci ar informāciju, kāpēc finansējuma apmērs nav norādīts.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VI.nodaļas “Ietekmes novērtējums uz valsts un pašvaldību budžetu” 4.13.pasākumam sadaļā “Budžeta programmas (apakšprogrammas) kods un nosaukums” svītrota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“63.07.00. “Eiropas Sociālā fonda (ESF) īstenotie projekti labklājības nozarē (2014-2020)</w:t>
            </w:r>
            <w:r w:rsidR="00000000" w:rsidRPr="00000000" w:rsidDel="00000000">
              <w:rPr>
                <w:vertAlign w:val="superscript"/>
                <w:rtl w:val="0"/>
              </w:rPr>
              <w:t xml:space="preserve">75</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75</w:t>
            </w:r>
            <w:r w:rsidR="00000000" w:rsidRPr="00000000" w:rsidDel="00000000">
              <w:rPr>
                <w:rtl w:val="0"/>
              </w:rPr>
              <w:t xml:space="preserve"> 2022.-2023.gadā pasākums tika īstenots ESF darbības programmas 2014.-2020.gadam „Izaugsme un nodarbinātība” 7.1.1.specifiskā atbalsta mērķa „Paaugstināt bezdarbnieku kvalifikāciju un prasmes atbilstoši darba tirgus pieprasījumam” ietvaros (projekta Nr.7.1.1.0/15/I/001); 2024.-2026.gadā Eiropas Savienības Atveseļošanas un noturības mehānisma plāna 3.1.reformu un investīciju virziena „Reģionālā politika” 3.1.2.reformas „Sociālo un nodarbinātības pakalpojumu pieejamība minimālo ienākumu reformas atbalstam” 3.1.2.5.i. investīcijas „Bezdarbnieku, darba meklētāju un bezdarba riskam pakļauto iedzīvotāju iesaiste darba tirgū”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79.zemsvītras atsauce izteikta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vertAlign w:val="superscript"/>
                <w:rtl w:val="0"/>
              </w:rPr>
              <w:t xml:space="preserve">79</w:t>
            </w:r>
            <w:r w:rsidR="00000000" w:rsidRPr="00000000" w:rsidDel="00000000">
              <w:rPr>
                <w:rtl w:val="0"/>
              </w:rPr>
              <w:t xml:space="preserve"> 2024.-2026.gadā Eiropas Savienības Atveseļošanas un noturības mehānisma plāna 3.1.reformu un investīciju virziena „Reģionālā politika” 3.1.2.reformas „Sociālo un nodarbinātības pakalpojumu pieejamība minimālo ienākumu reformas atbalstam” 3.1.2.5.i. investīcijas „Bezdarbnieku, darba meklētāju un bezdarba riskam pakļauto iedzīvotāju iesaiste darba tirgū”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2022.-2023.gadā pasākums tika īstenots ESF darbības programmas 2014.-2020.gadam „Izaugsme un nodarbinātība” 9.1.1.specifiskā atbalsta mērķa „Palielināt nelabvēlīgākā situācijā esošu bezdarbnieku iekļaušanos darba tirgū” 9.1.1.1.pasākuma „Subsidētās darbavietas nelabvēlīgākā situācijā esošiem bezdarbniekiem” (projekta Nr.9.1.1.1./15/I/001)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romu mērķa grupai netika noteikts, jo šīs personas aktīvās darba tirgus politikas pasākumu kontekstā ir daļa no kopējās mērķa grupas – Nodarbinātības valsts aģentūrā reģistrētie bezdarbnieki un darba meklētāji, ieskaitot romu tautības pārstāvjus.”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V.sadaļas “Ietekmes novērtējums uz valsts un pašvaldību budžetu” 4.13.pasākumam svītrot informāciju par Labklājības ministrijas pamatbudžeta apakšprogrammu 63.07.00 “Eiropas Sociālā fonda (ESF) īstenotie projekti labklājības nozarē (2014-2020)”, jo minētais projekts ir noslēgts 2023.gada 31.decembrī, savukārt plāna projekts paredzēts  2024.-2027.gadam.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VI.nodaļas “Ietekmes novērtējums uz valsts un pašvaldību budžetu” 4.13.pasākumam sadaļā “Budžeta programmas (apakšprogrammas) kods un nosaukums” svītrota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“63.07.00. “Eiropas Sociālā fonda (ESF) īstenotie projekti labklājības nozarē (2014-2020)</w:t>
            </w:r>
            <w:r w:rsidR="00000000" w:rsidRPr="00000000" w:rsidDel="00000000">
              <w:rPr>
                <w:vertAlign w:val="superscript"/>
                <w:rtl w:val="0"/>
              </w:rPr>
              <w:t xml:space="preserve">75</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75 </w:t>
            </w:r>
            <w:r w:rsidR="00000000" w:rsidRPr="00000000" w:rsidDel="00000000">
              <w:rPr>
                <w:rtl w:val="0"/>
              </w:rPr>
              <w:t xml:space="preserve">2022.-2023.gadā pasākums tika īstenots ESF darbības programmas 2014.-2020.gadam „Izaugsme un nodarbinātība” 7.1.1.specifiskā atbalsta mērķa „Paaugstināt bezdarbnieku kvalifikāciju un prasmes atbilstoši darba tirgus pieprasījumam” ietvaros (projekta Nr.7.1.1.0/15/I/001); 2024.-2026.gadā Eiropas Savienības Atveseļošanas un noturības mehānisma plāna 3.1.reformu un investīciju virziena „Reģionālā politika” 3.1.2.reformas „Sociālo un nodarbinātības pakalpojumu pieejamība minimālo ienākumu reformas atbalstam” 3.1.2.5.i. investīcijas „Bezdarbnieku, darba meklētāju un bezdarba riskam pakļauto iedzīvotāju iesaiste darba tirgū”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79.zemsvītras atsauce izteikta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vertAlign w:val="superscript"/>
                <w:rtl w:val="0"/>
              </w:rPr>
              <w:t xml:space="preserve">79</w:t>
            </w:r>
            <w:r w:rsidR="00000000" w:rsidRPr="00000000" w:rsidDel="00000000">
              <w:rPr>
                <w:rtl w:val="0"/>
              </w:rPr>
              <w:t xml:space="preserve"> 2024.-2026.gadā Eiropas Savienības Atveseļošanas un noturības mehānisma plāna 3.1.reformu un investīciju virziena „Reģionālā politika” 3.1.2.reformas „Sociālo un nodarbinātības pakalpojumu pieejamība minimālo ienākumu reformas atbalstam” 3.1.2.5.i. investīcijas „Bezdarbnieku, darba meklētāju un bezdarba riskam pakļauto iedzīvotāju iesaiste darba tirgū”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2022.-2023.gadā pasākums tika īstenots ESF darbības programmas 2014.-2020.gadam „Izaugsme un nodarbinātība” 9.1.1.specifiskā atbalsta mērķa „Palielināt nelabvēlīgākā situācijā esošu bezdarbnieku iekļaušanos darba tirgū” 9.1.1.1.pasākuma „Subsidētās darbavietas nelabvēlīgākā situācijā esošiem bezdarbniekiem” (projekta Nr.9.1.1.1./15/I/001)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romu mērķa grupai netika noteikts, jo šīs personas aktīvās darba tirgus politikas pasākumu kontekstā ir daļa no kopējās mērķa grupas – Nodarbinātības valsts aģentūrā reģistrētie bezdarbnieki un darba meklētāji, ieskaitot romu tautības pārstāvjus.”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V.sadaļas “Ietekmes novērtējums uz valsts un pašvaldību budžetu” 1.tabulā pie 4.16.pasākuma atsaucē ir norādīts, ka pasākuma “Mājokļu pieejamības uzlabošana grūtībās nonākušiem un nelabvēlīgā situācijā esošiem iedzīvotājiem” īstenošana tiks nodrošināta 4.3.1.3. pasākuma „Sociālo mājokļu atjaunošana vai jaunu sociālo mājokļu būvniecība” ietvaros un nepieciešamo finansējumu Finanšu ministrija lūgs pārdalīt no 74. resora „Gadskārtējā valsts budžeta izpildes procesā pārdalāmais finansējums” 80.00.00 programmas „Nesadalītais finansējums Eiropas Savienības politiku instrumentu un pārējās ārvalstu finanšu palīdzības līdzfinansēto projektu un pasākumu īstenošanai”, savukārt pie pasākuma norādīta Ekonomikas ministrija. Ņemot vērā minēto, lūdzam precizēt un norādīt ministriju un tās attiecīgo budžeta programmu/apakšprogrammu, kurai finansējums ir vai tiks plānots.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VI.nodaļas “Ietekmes novērtējums uz valsts un pašvaldību budžetu” 1.tabulā 4.16.pasākuma “Mājokļu pieejamības uzlabošana grūtībās nonākušiem un nelabvēlīgā situācijā esošiem iedzīvotājiem” sadaļa “Budžeta programmas (apakšprogrammas) kods un nosaukums” izteikta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“97.00.00 „Nozaru vadība un politikas plānošana”</w:t>
            </w:r>
            <w:r w:rsidR="00000000" w:rsidRPr="00000000" w:rsidDel="00000000">
              <w:rPr>
                <w:vertAlign w:val="superscript"/>
                <w:rtl w:val="0"/>
              </w:rPr>
              <w:t xml:space="preserve">84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84</w:t>
            </w:r>
            <w:r w:rsidR="00000000" w:rsidRPr="00000000" w:rsidDel="00000000">
              <w:rPr>
                <w:rtl w:val="0"/>
              </w:rPr>
              <w:t xml:space="preserve"> Konkrētu finansējuma apmēru nav iespējams norādīt, bet pasākuma īstenošana 2024.-2027.gadā tiek nodrošināta EM esošā budžeta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V. sadaļas “Ietekmes novērtējums uz valsts un pašvaldību budžetu” 1.tabulas 4.15.pasākumam norādīt Ekonomikas ministrijas budžeta programmu/apakšprogrammu, kuras ietvaros ir paredzēts nodrošināt sociālo mājokļu atjaunošanu un jaunu sociālo mājokļu būvniecību, kā arī sniegt informāciju par pasākuma īstenošanai plānotā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VI.nodaļas “Ietekmes novērtējums uz valsts un pašvaldību budžetu” 1.tabulā 4.15.pasākuma “Sociālo mājokļu atjaunošana un jaunu sociālo mājokļu būvniecība” sadaļa “Budžeta resors” izteikta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“13.Finanšu ministrija</w:t>
            </w:r>
            <w:r w:rsidR="00000000" w:rsidRPr="00000000" w:rsidDel="00000000">
              <w:rPr>
                <w:sz w:val="20"/>
                <w:vertAlign w:val="superscript"/>
                <w:rtl w:val="0"/>
              </w:rPr>
              <w:t xml:space="preserve">83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0"/>
                <w:vertAlign w:val="superscript"/>
                <w:rtl w:val="0"/>
              </w:rPr>
              <w:t xml:space="preserve">83</w:t>
            </w:r>
            <w:r w:rsidR="00000000" w:rsidRPr="00000000" w:rsidDel="00000000">
              <w:rPr>
                <w:vertAlign w:val="superscript"/>
                <w:rtl w:val="0"/>
              </w:rPr>
              <w:t xml:space="preserve"> </w:t>
            </w:r>
            <w:r w:rsidR="00000000" w:rsidRPr="00000000" w:rsidDel="00000000">
              <w:rPr>
                <w:rtl w:val="0"/>
              </w:rPr>
              <w:t xml:space="preserve">Atbilstoši Ministru kabineta 2023.gada 19.septembra noteikumiem Nr.538 „Eiropas Savienības kohēzijas politikas programmas 2021.–2027.gadam 4.3.1.specifiskā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4.3.1.3.pasākuma „Sociālo mājokļu atjaunošana vai jaunu sociālo mājokļu būvniecība” īstenošanas noteikumi” atbildīgās iestādes funkcijas veic EM, bet finansējums pasākuma īstenošanai tiek plānots FM budžetā. Konkrētu finansējuma apmēru romu mērķa grupai nav iespējams norādīt.”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V.nodaļas “Ietekmes novērtējums uz valsts un pašvaldību budžetu” 1.tabulā 4.15.pasākuma “Sociālo mājokļu atjaunošana un jaunu sociālo mājokļu būvniecība” sadaļa “Budžeta programmas (apakšprogrammas) kods un nosaukums” izteikta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“62.10.00 „Eiropas Reģionālās attīstības fonda (ERAF) avansa maksājumi un atmaksas finansējuma saņēmējiem (2021-2027)”.”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2014.gada 2.decembra noteikumu Nr.737 “Attīstības plānošanas dokumentu izstrādes un ietekmes izvērtēšanas noteikumi” 25.6.apakšpunktam plāna projekta V.sadaļas "Ietekmes novērtējums uz valsts un pašvaldību budžetu" 2.tabulas 4.5. un 4.20.pasākumam kolonnā "Aprēķins" ir norādāmi detalizēti aprēķini papildus pieprasītajam finansējumam.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VI.nodaļas “Ietekmes novērtējums uz valsts un pašvaldību budžetu” 2.tabulas 4.5.pasākuma “Mazākumtautību un sabiedrības saliedētības programma” sadaļa “Aprēķins” precizēta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“Mazākumtautību un sabiedrības saliedētības programmai nepieciešami ir papildu finanšu līdzekļi 350 000 </w:t>
            </w:r>
            <w:r w:rsidR="00000000" w:rsidRPr="00000000" w:rsidDel="00000000">
              <w:rPr>
                <w:i w:val="1"/>
                <w:rtl w:val="0"/>
              </w:rPr>
              <w:t xml:space="preserve">euro</w:t>
            </w:r>
            <w:r w:rsidR="00000000" w:rsidRPr="00000000" w:rsidDel="00000000">
              <w:rPr>
                <w:rtl w:val="0"/>
              </w:rPr>
              <w:t xml:space="preserve"> apmērā, lai atbalsts projektu konkursos tiktu sniegts vismaz 400 mērķa grupas personām, sniedzot finansējumu projektu īstenotājiem projektu konkursa rezultātā. Administratīvie izdevumi plānoti 8,5% apmērā, t.i. ~ 30 000 </w:t>
            </w:r>
            <w:r w:rsidR="00000000" w:rsidRPr="00000000" w:rsidDel="00000000">
              <w:rPr>
                <w:i w:val="1"/>
                <w:rtl w:val="0"/>
              </w:rPr>
              <w:t xml:space="preserve">euro</w:t>
            </w:r>
            <w:r w:rsidR="00000000" w:rsidRPr="00000000" w:rsidDel="00000000">
              <w:rPr>
                <w:rtl w:val="0"/>
              </w:rPr>
              <w:t xml:space="preserve"> (Programmas vadītāja atlīdzība 28 924 </w:t>
            </w:r>
            <w:r w:rsidR="00000000" w:rsidRPr="00000000" w:rsidDel="00000000">
              <w:rPr>
                <w:i w:val="1"/>
                <w:rtl w:val="0"/>
              </w:rPr>
              <w:t xml:space="preserve">euro</w:t>
            </w:r>
            <w:r w:rsidR="00000000" w:rsidRPr="00000000" w:rsidDel="00000000">
              <w:rPr>
                <w:rtl w:val="0"/>
              </w:rPr>
              <w:t xml:space="preserve">; Programmas administrēšanas tehniskās izmaksas, tai skaitā izdevumi par informāciju sistēmu uzturēšanu, sakaru un interneta pakalpojumiem, komunālajiem maksājumiem un telpu nomu, kuras tiek daļēji attiecinātas no SIF administrētajām programmām piešķirtā finansējuma – 1 076 </w:t>
            </w:r>
            <w:r w:rsidR="00000000" w:rsidRPr="00000000" w:rsidDel="00000000">
              <w:rPr>
                <w:i w:val="1"/>
                <w:rtl w:val="0"/>
              </w:rPr>
              <w:t xml:space="preserve">euro</w:t>
            </w:r>
            <w:r w:rsidR="00000000" w:rsidRPr="00000000" w:rsidDel="00000000">
              <w:rPr>
                <w:rtl w:val="0"/>
              </w:rPr>
              <w:t xml:space="preserve">). Maksimālais viena projekta apjoms indikatīvi 20 000 </w:t>
            </w:r>
            <w:r w:rsidR="00000000" w:rsidRPr="00000000" w:rsidDel="00000000">
              <w:rPr>
                <w:i w:val="1"/>
                <w:rtl w:val="0"/>
              </w:rPr>
              <w:t xml:space="preserve">euro</w:t>
            </w:r>
            <w:r w:rsidR="00000000" w:rsidRPr="00000000" w:rsidDel="00000000">
              <w:rPr>
                <w:rtl w:val="0"/>
              </w:rPr>
              <w:t xml:space="preserve"> (projektu izmaksas paredzētas indikatīvi šādu aktivitāšu nodrošināšanai: plānoto pasākumu/lekciju/ meistarklašu telpu īrei; plānoto pasākumu vadītāju/lektoru/ meistarklašu vadītāju atalgojumam; materiālu nodrošināšana radošajām darbnīcām/meistarklasēm/ pasākumiem; tehniskais nodrošinājums pasākumos; transporta izdevumiem; ēdināšanas izmaksas; projekta administratīvo izdevumu segšanai – projekta vadība, grāmatvedība, sakaru izdevumi). Projektu īstenošanas periods indikatīvi 12-16 mēneši. Tiks atbalstīti indikatīvi 16 iesniegtie projekti, kopā sastādot ~ 320 000 </w:t>
            </w:r>
            <w:r w:rsidR="00000000" w:rsidRPr="00000000" w:rsidDel="00000000">
              <w:rPr>
                <w:i w:val="1"/>
                <w:rtl w:val="0"/>
              </w:rPr>
              <w:t xml:space="preserve">euro</w:t>
            </w:r>
            <w:r w:rsidR="00000000" w:rsidRPr="00000000" w:rsidDel="00000000">
              <w:rPr>
                <w:rtl w:val="0"/>
              </w:rPr>
              <w:t xml:space="preserve">. Kopā nepieciešami ~ 350 000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VI.nodaļas “Ietekmes novērtējums uz valsts un pašvaldību budžetu” 2.tabulas 4.20.pasākuma “Starptautiskā Romu kultūras festivāla norise” sadaļa “Aprēķins” precizēta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“2025.gadā un turpmāk ik gadu – 90 000</w:t>
            </w:r>
            <w:r w:rsidR="00000000" w:rsidRPr="00000000" w:rsidDel="00000000">
              <w:rPr>
                <w:i w:val="1"/>
                <w:rtl w:val="0"/>
              </w:rPr>
              <w:t xml:space="preserve"> euro</w:t>
            </w:r>
            <w:r w:rsidR="00000000" w:rsidRPr="00000000" w:rsidDel="00000000">
              <w:rPr>
                <w:rtl w:val="0"/>
              </w:rPr>
              <w:t xml:space="preserve">/gadā. Izdevumi ar festivāla norisi tiešā veidā saistīto izmaksu segšanai (tai skaitā, telpu skaņas, gaismu u.c. materiāltehniskā nodrošinājuma noma, pasākuma vizuālais noformējums, pasākuma vadītāja atalgojums). Indikatīvi: telpu noma 3 500 </w:t>
            </w:r>
            <w:r w:rsidR="00000000" w:rsidRPr="00000000" w:rsidDel="00000000">
              <w:rPr>
                <w:i w:val="1"/>
                <w:rtl w:val="0"/>
              </w:rPr>
              <w:t xml:space="preserve">euro</w:t>
            </w:r>
            <w:r w:rsidR="00000000" w:rsidRPr="00000000" w:rsidDel="00000000">
              <w:rPr>
                <w:rtl w:val="0"/>
              </w:rPr>
              <w:t xml:space="preserve">; gaismošana, apskaņošana, noformējums, tai skaitā tehnikas un instrumentu noma, uzstādīšana, skaņošana – 9 585 </w:t>
            </w:r>
            <w:r w:rsidR="00000000" w:rsidRPr="00000000" w:rsidDel="00000000">
              <w:rPr>
                <w:i w:val="1"/>
                <w:rtl w:val="0"/>
              </w:rPr>
              <w:t xml:space="preserve">euro</w:t>
            </w:r>
            <w:r w:rsidR="00000000" w:rsidRPr="00000000" w:rsidDel="00000000">
              <w:rPr>
                <w:rtl w:val="0"/>
              </w:rPr>
              <w:t xml:space="preserve">; Pasākuma vadīšana, foto un video filmēšana, apdrošināšana – 5 365 </w:t>
            </w:r>
            <w:r w:rsidR="00000000" w:rsidRPr="00000000" w:rsidDel="00000000">
              <w:rPr>
                <w:i w:val="1"/>
                <w:rtl w:val="0"/>
              </w:rPr>
              <w:t xml:space="preserve">euro</w:t>
            </w:r>
            <w:r w:rsidR="00000000" w:rsidRPr="00000000" w:rsidDel="00000000">
              <w:rPr>
                <w:rtl w:val="0"/>
              </w:rPr>
              <w:t xml:space="preserve">; Festivāla mākslinieku transporta un izmitināšanās izdevumi – 22 200 </w:t>
            </w:r>
            <w:r w:rsidR="00000000" w:rsidRPr="00000000" w:rsidDel="00000000">
              <w:rPr>
                <w:i w:val="1"/>
                <w:rtl w:val="0"/>
              </w:rPr>
              <w:t xml:space="preserve">euro</w:t>
            </w:r>
            <w:r w:rsidR="00000000" w:rsidRPr="00000000" w:rsidDel="00000000">
              <w:rPr>
                <w:rtl w:val="0"/>
              </w:rPr>
              <w:t xml:space="preserve">; Atlīdzība Festivāla māksliniekiem – 18 000</w:t>
            </w:r>
            <w:r w:rsidR="00000000" w:rsidRPr="00000000" w:rsidDel="00000000">
              <w:rPr>
                <w:i w:val="1"/>
                <w:rtl w:val="0"/>
              </w:rPr>
              <w:t xml:space="preserve"> euro</w:t>
            </w:r>
            <w:r w:rsidR="00000000" w:rsidRPr="00000000" w:rsidDel="00000000">
              <w:rPr>
                <w:rtl w:val="0"/>
              </w:rPr>
              <w:t xml:space="preserve">; Ēdināšana – 12 850 </w:t>
            </w:r>
            <w:r w:rsidR="00000000" w:rsidRPr="00000000" w:rsidDel="00000000">
              <w:rPr>
                <w:i w:val="1"/>
                <w:rtl w:val="0"/>
              </w:rPr>
              <w:t xml:space="preserve">euro</w:t>
            </w:r>
            <w:r w:rsidR="00000000" w:rsidRPr="00000000" w:rsidDel="00000000">
              <w:rPr>
                <w:rtl w:val="0"/>
              </w:rPr>
              <w:t xml:space="preserve">; Festivāla publicitātes pasākumu nodrošināšana – 18 500</w:t>
            </w:r>
            <w:r w:rsidR="00000000" w:rsidRPr="00000000" w:rsidDel="00000000">
              <w:rPr>
                <w:i w:val="1"/>
                <w:rtl w:val="0"/>
              </w:rPr>
              <w:t xml:space="preserve"> 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svītrot plānā iekļautos ES fondu līdzfinansētos pasākumus/projektus, kas attiecināmi uz ES fondu 2014-2020.gada plānošanas periodu, jo to īstenošana faktiski noslēgusies 2023.gada 31.decembrī. Vienlaikus vēršam uzmanību, ka daži no plāna IV. sadaļā "Pasākumi plāna mērķa sasniegšanai" minētajiem ES fondu 2014.-2020.gada plānošanas periodā īstenotajiem pasākumiem, turpināsies arī 2021.-2027.gada plānošanas periodā, līdz ar to, aicinām, sazinoties ar Izglītības un zinātnes ministriju, aktualizēt plānā norādīto informāciju, papildinot to ar atbilstošiem pasākumu numuriem, nosaukumiem un plānoto finansējuma apjomu/avotu (attiecībā uz finansējumu, aizpildot V. sadaļu "Ietekmes novērtējums uz valsts un pašvaldību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izziņas 14., 15., 30. un 31.punktu.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tekstu 5. sadaļā, 22.lpp.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papildu   valsts   budžeta   līdzekļu   piešķiršanu   Plānā   paredzēto   pasākumu   īstenošanai 2025.gadā un turpmāk skatāms Ministru kabinetā gadskārtējā valsts budžeta un vidēja termiņa budžeta ietvara likumprojekta   sagatavošanas   un   izskatīšanas   procesā   kopā   ar   visu   ministriju   un   centrālo   valsts   iestāžu   iesniegtajiem priekšlikumiem prioritārajiem pasākumiem atbilstoši valsts budžeta finansiālajām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VI.nodaļas “Ietekmes novērtējums uz valsts un pašvaldību budžetu” ievaddaļa izteikta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“Jautājumu par papildu valsts budžeta līdzekļu piešķiršanu Plāna īstenošanai 2025., 2026. un 2027.gadā skatīt likumprojekta “Par valsts budžetu 2025.gadam un budžeta ietvaru 2025., 2026. un 2027.gadam” sagatavošanas procesā kopā ar visu ministriju un citu centrālo valsts iestāžu prioritārajiem pasākumiem, ievērojot valsts budžeta finansiālās iespējas. Savukārt, ja budžeta likumprojekta sagatavošanas procesā netiek atbalstīta papildu finansējuma piešķiršana, Plānā paredzētais ir nodrošināms atbilstoši iesaistīto institūciju rīcībā esošajam finansējumam.</w:t>
            </w:r>
            <w:r w:rsidR="00000000" w:rsidRPr="00000000" w:rsidDel="00000000">
              <w:rPr>
                <w:sz w:val="20"/>
                <w:vertAlign w:val="superscript"/>
                <w:rtl w:val="0"/>
              </w:rPr>
              <w:t xml:space="preserve">70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70</w:t>
            </w:r>
            <w:r w:rsidR="00000000" w:rsidRPr="00000000" w:rsidDel="00000000">
              <w:rPr>
                <w:rtl w:val="0"/>
              </w:rPr>
              <w:t xml:space="preserve"> Finanšu ministrija norāda, ka līdz ar Eiropas Savienības vispārējās izņēmuma klauzulas, kas ļāva atkāpties no Eiropas Savienības Līgumos noteiktajiem vispārējās valdības budžeta deficīta un parāda ierobežojumiem, atcelšanu, ir spēkā Eiropas Savienības Stabilitātes un izaugsmes pakta (turpmāk – SIP) nosacījumi. 2024.gada 30.aprīlī ir stājušies spēkā Eiropas Savienības SIP reformas ietvaros pieņemtie tiesību akti (jaunie Eiropas Savienības fiskālie noteikumi), kas līdz ar Fiskālās disciplīnas likuma nosacījumiem būs jāņem vērā sagatavojot likumprojektu „Par valsts budžetu 2025.gadam un budžeta ietvaru 2025., 2026. un 2027.gadam”. Iespējas piešķirt papildu finanšu resursus turpmākajos gados būs ierobežotas un attiecīgi visas nozaru ministrijas tiks aicinātas jaunas prioritātes nodrošināt, pamatā pārskatot jau piešķirto finansējumu, veicot bāzes izdevumu pārskatīšanu.”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Plāna projekta 4.9. punktā minēts projekts "PuMPuRS" („Samazināt priekšlaicīgu mācību pārtraukšanu, īstenojot preventīvus un intervences pasākumus” (projekta Nr. 8.3.4.0/16/I/001), kurš noslēdzies 2023.gada 31.decembrī. Par sadarbību ar skolēnu vecākiem ir atbildīga izglītības iestāde un tās vadītājs. Par atbalstu romu skolēniem ir atbildīga izglītības iestāde un pašvaldības, tostarp, atbalstu var sniegt, izmantojot pedagogu slodzē paredzēto individuālā atbalsta sniegšanu.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Iesakām no līdzatbildīgajām institūcijām noņemt IKVD, bet pievienot pašvaldības un izglītības iestādes.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 ar skolēnu vecākiem un skolēnu vecāku izglītošana, lai mazinātu romu skolēnu priekšlaicīgu mācību pārtraukšanu.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nodrošināts individuāls atbalsts skolēniem.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IV.nodaļā “Pasākumi plāna mērķa sasniegšanai” 4.9.pasākuma “Pasākumi, kas novērš priekšlaicīgu mācību pārtraukšanu un mācību pārtraukšanu visos izglītības līmeņos un veicina atgriešanos izglītībā un darba tirgū” sadaļa “Rezultatīvais rādītājs” precizēta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 ar skolēnu vecākiem un skolēnu vecāku izglītošana, lai mazinātu romu skolēnu priekšlaicīgu mācību pārtraukšanu.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nodrošināts individuāls atbalsts skolēniem.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IV.nodaļā “Pasākumi plāna mērķa sasniegšanai” 4.9.pasākuma “Pasākumi, kas novērš priekšlaicīgu mācību pārtraukšanu un mācību pārtraukšanu visos izglītības līmeņos un veicina atgriešanos izglītībā un darba tirgū” sadaļa “Līdzatbildīgās institūcijas” izteikta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“JSPA, pašvaldības, izglītības iestādes”.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8.3.2.2. pasākums „Atbalsts izglītojamo individuālo kompetenču attīstībai” (projekta Nr. 8.3.2.2./16/I/001) ir noslēdzies 2023. gada 31. decembrī, lūdzam no 4.9. punkta svītrot sekojošu informāciju, kā arī svītrot piezīmi Nr. 54 lapas apakšā: Projekta „Atbalsts izglītojamo individuālo kompetenču attīstībai” ietvaros palielināts atbalsts vispārējās izglītības iestādēm izglītojamo individuālo kompetenču attīstībai, tai skaitā paredzot: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ilgtspējīgas pašvaldību vispārējās izglītības iestāžu atbalsta sistēmas izveidi izglītojamo individuālo kompetenču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atbalstu tām skolēnu grupām, kurām Covid‑19 apstākļos - gan attālināto mācību ietvaros, gan samazinātā mācību satura apjoma rezultātā - ir nepieciešams kompensēt noteiktu mācību satura jautājumu apguvi.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mācību pasākumu piemērošana skolēniem, kuriem ir zemi mācību sasniegumi, visos mācību priekšmetos.[54]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Pasākums tiek īstenots ESF darbības programmas 2014.-2020.gadam „Izaugsme un nodarbinātība” 8.3.2. specifiskā atbalsta mērķa „Palielināt atbalstu vispārējās izglītības iestādēm izglītojamo individuālo kompetenču attīstībai” 8.3.2.2. pasākuma „Atbalsts izglītojamo individuālo kompetenču attīstībai” (projekta Nr. 8.3.2.2./16/I/001)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IV.nodaļas “Pasākumi plāna mērķa sasniegšanai” 4.9.pasākumā “Pasākumi, kas novērš priekšlaicīgu mācību pārtraukšanu un mācību pārtraukšanu visos izglītības līmeņos un veicina atgriešanos izglītībā un darba tirgū” svītrota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„Atbalsts izglītojamo individuālo kompetenču attīstībai” ietvaros palielināts atbalsts vispārējās izglītības iestādēm izglītojamo individuālo kompetenču attīstībai, tai skaitā paredzot: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ilgtspējīgas pašvaldību vispārējās izglītības iestāžu atbalsta sistēmas izveidi izglītojamo individuālo kompetenču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atbalstu tām skolēnu grupām, kurām Covid‑19 apstākļos - gan attālināto mācību ietvaros, gan samazinātā mācību satura apjoma rezultātā - ir nepieciešams kompensēt noteiktu mācību satura jautājumu apguvi.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mācību pasākumu piemērošana skolēniem, kuriem ir zemi mācību sasniegumi, visos mācību priekšmetos.</w:t>
            </w:r>
            <w:r w:rsidR="00000000" w:rsidRPr="00000000" w:rsidDel="00000000">
              <w:rPr>
                <w:vertAlign w:val="superscript"/>
                <w:rtl w:val="0"/>
              </w:rPr>
              <w:t xml:space="preserve">54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54</w:t>
            </w:r>
            <w:r w:rsidR="00000000" w:rsidRPr="00000000" w:rsidDel="00000000">
              <w:rPr>
                <w:rtl w:val="0"/>
              </w:rPr>
              <w:t xml:space="preserve"> Pasākums tiek īstenots ESF darbības programmas 2014.-2020.gadam „Izaugsme un nodarbinātība” 8.3.2.specifiskā atbalsta mērķa „Palielināt atbalstu vispārējās izglītības iestādēm izglītojamo individuālo kompetenču attīstībai” 8.3.2.2.pasākuma „Atbalsts izglītojamo individuālo kompetenču attīstībai” (projekta Nr.8.3.2.2./16/I/001)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Atbildīgajai institūcijai un līdzatbildīgajām institūcijām plānā paredzēto pasākumu īstenošanu 2024. gadā nodrošināt atbilstoši piešķirtajiem valsts budžeta līdzekļiem. Jautājumu par papildu valsts budžeta līdzekļu piešķiršanu plāna īstenošanai 2025., 2026. un 2027. gadā skatīt likumprojekta "Par valsts budžetu 2025. gadam un budžeta ietvaru 2025., 2026. un 2027. gadam" sagatavošanas procesā kopā ar visu ministriju un citu centrālo valsts iestāžu prioritārajiem pasākumiem, ievērojot valsts budžeta finansiālās iespējas. Savukārt, ja budžeta likumprojekta sagatavošanas procesā netiek atbalstīta papildu finansējuma piešķiršana, plānā paredzētais ir nodrošināms atbilstoši iesaistīto institūciju rīcībā esošajam finansējumam.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Ministru kabineta š.g.18.jūnija (prot. Nr. 25 74.§) lēmumam likumprojekta "Par valsts budžetu 2025. gadam un budžeta ietvaru 2025., 2026. un 2027. gadam" sagatavošanā kā vienīgais vidēja termiņa budžeta prioritāro attīstības virziens tika noteikts valsts drošība un ministrijas iesniedz priekšlikumus prioritārajiem pasākumiem, tikai kas saistīti ar valsts drošību.  Savukārt citu vidēja termiņa budžeta prioritāro attīstības virzienu noteikšana iespējama, pārskatot ministriju un citu centrālo valsts iestāžu esošo budžeta programmu/apakšprogrammu izdevumus un pārvirzot resursus aktuālākiem prioritārajiem pasākumiem vai rodot papildu finansējuma avotus, attiecīgi sagatavojot fiskāli neitrālus priekšlikumus jaunu prioritāro pasākumu finansēšanai.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izvērtēt Ministru kabineta rīkojuma projekta 3.punkta otrā un trešā teikuma aktualitāti.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ir izvērtējusi Finanšu ministrijas priekšlikumu un norāda, ka jautājums par atbalstu ministriju un citu centrālo valsts iestāžu prioritārajiem pasākumiem tiks skatīts likumprojekta “Par valsts budžetu 2025. gadam un budžeta ietvaru 2025., 2026. un 2027. gadam” sagatavošanas procesā. Līdz ar to rīkojuma projekta 3.punkts ir saglabājams esošajā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Atbildīgajai institūcijai un līdzatbildīgajām institūcijām plānā paredzēto pasākumu īstenošanu 2024. gadā nodrošināt atbilstoši piešķirtajiem valsts budžeta līdzekļiem. Jautājumu par papildu valsts budžeta līdzekļu piešķiršanu plāna īstenošanai 2025., 2026. un 2027. gadā skatīt likumprojekta "Par valsts budžetu 2025. gadam un budžeta ietvaru 2025., 2026. un 2027. gadam" sagatavošanas procesā kopā ar visu ministriju un citu centrālo valsts iestāžu prioritārajiem pasākumiem, ievērojot valsts budžeta finansiālās iespējas. Savukārt, ja budžeta likumprojekta sagatavošanas procesā netiek atbalstīta papildu finansējuma piešķiršana, plānā paredzētais ir nodrošināms atbilstoši iesaistīto institūciju rīcībā esošajam finansējumam.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4.5. pasākuma nosaukumu un rezultatīvo rādītāju atbilstoši SIF mājaslapā sniegtajai informācijai par projektu konkursiem (https://www.sif.gov.lv/lv/mazakumtautibu-un-sabiedribas-saliedetibas-programma).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Mazākumtautību un sabiedrības saliedētības programma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Aktivitātēs iesaistīti vismaz 400 bērni, jaunieši un viņu ģimenes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IV.nodaļas “Pasākumi plāna mērķa sasniegšanai” 4.5.pasākuma nosaukums precizēts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“Mazākumtautību un sabiedrības saliedētības programma”.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IV.nodaļas “Pasākumi plāna mērķa sasniegšanai” 4.5.pasākuma “Mazākumtautību un sabiedrības saliedētības programma” sadaļa “Rezultatīvais rādītājs” precizēta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Aktivitātēs iesaistīti vismaz 400 bērni, jaunieši un viņu ģimenes.”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rezultatīvo rādītāju pasākumam Nr. 5.3. "Īstenotas antičigānsma kampaņas."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Īstenotas kampaņas, lai apkarotu/mazinātu antičigānismu.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V.nodaļas “Citas iniciatīvas romu iekļaušanās un līdzdalības veicināšanai” 5.3.pasākuma “Sabiedrības informēšanas pasākumi, tostarp romu radio darbība” sadaļa “Rezultatīvais rādītājs” precizēta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Īstenotas kampaņas antičigānisma mazināšanai.”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- 17.05.2024.)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4.12.punkts paredz motivēt romu jauniešus izmantot sociālo stipendiju “Studētgods” augstākās izglītības iegūšanai. Sadaļā “atsauce uz politikas dokumentu vai normatīvo aktu” ir norāde “grozījumi Augstskolu likumā.” Tiesībsargs aicināja Kultūras ministriju un Izglītības un zinātnes ministriju precizēt, kādi grozījumi ir paredzēti Augstskolu likumā Plāna ietvaros. Izglītības un zinātnes ministrija norādīja, ka grozījumi Augstskolu likumā Plāna ietvaros netiek apsvērti. Tāpat nav plānots sociālo stipendiju “Studētgods” sasaistīt ar tautības pazīmi.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tiesībsargs izteic priekšlikumu dzēst vārdu “grozījumi” Plāna 4.12.punkta sadaļā “atsauce uz politikas dokumentu vai normatīvo aktu”, lai neradītu pārpratumus.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IV.nodaļas “Pasākumi plāna mērķa sasniegšanai” 4.12.pasākuma “Stipendiju programma augstākās izglītības iegūšanai” sadaļā  “Atsauce uz politikas dokumentu vai normatīvo aktu” svītrota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“Augstskolu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V sadaļas “Ietekmes novērtējums uz valsts un pašvaldību budžetu” 1.tabulas “Kopsavilkums par plānā iekļauto uzdevumu īstenošanai nepieciešamo valsts un pašvaldību budžeta finansējumu” 4.14.pasākumam norādīt Veselības ministrijas budžeta apakšprogrammu, kuras ietvaros minētais pasākums tiks īstenots.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VI.nodaļas “Ietekmes novērtējums uz valsts un pašvaldību budžetu” 1.tabulā 4.14.pasākuma “Romu iesaiste veselības veicināšanas apmācībās” sadaļa “Budžeta resors” izteikta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“63.08.00 „Eiropas Sociālā fonda Plus (ESF+) projektu un pasākumu īstenošana (2021-2027)”</w:t>
            </w:r>
            <w:r w:rsidR="00000000" w:rsidRPr="00000000" w:rsidDel="00000000">
              <w:rPr>
                <w:vertAlign w:val="superscript"/>
                <w:rtl w:val="0"/>
              </w:rPr>
              <w:t xml:space="preserve">82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82</w:t>
            </w:r>
            <w:r w:rsidR="00000000" w:rsidRPr="00000000" w:rsidDel="00000000">
              <w:rPr>
                <w:rtl w:val="0"/>
              </w:rPr>
              <w:t xml:space="preserve"> Pasākums tiek īstenots Eiropas Savienības kohēzijas politikas programmas 2021.–2027.gadam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4.1.2.1.pasākuma „Nacionāla mēroga veselības veicināšanas un slimību profilakses pasākumi” projekta „Nacionāla mēroga veselības veicināšanas un slimību profilakses pasākumi (Nr.4.1.2.1/1/24/I/001)” ietvaros. Papildu nepieciešamais ESF+ projekta (Nr.4.1.2.1/1/24/I/001) finansējums ir iekļauts Sabiedrības veselības pamatnostādnēs 2021.-2027.gadam pie 1.4.2. un 1.3.6. uzdevuma. Ņemot vērā, ka abu uzdevumu ietvaros paredzēts apmācīt ne tikai romu mediatorus, bet arī citus speciālistus, finansējumu tikai romu mediatoru apmācībai nav iespējams izdalīt atsevišķi.”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- 30.04.2024.)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plānā iekļauto uzdevumu īstenošanā, analīzē un ietekmes novērtējumā plašāk lietot oficiālās statistikas portāla stat.gov.lv sociālās iekļaušanas sadaļā pieejamos datus par romiem kā riska grupu: https://stat.gov.lv/lv/statistikas-temas/labklajibas-un-vienlidzibas-raditaji/sociala-ieklausanas/sociala-ieklausanas-riska-grupa-romi.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III.nodaļa “Situācijas raksturojums” papildināta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CSP datiem romu vecuma struktūra nedaudz atšķiras no Latvijas iedzīvotāju vecuma struktūras. Vairāk romu vidū ir jaunu cilvēku – 14,5 % 15–24 gadus vecu jauniešu, bet starp Latvijas iedzīvotājiem – 10,1 %. Savukārt personu, kuras vecākas par 55 gadiem, īpatsvars starp romiem (30,2 %) ir mazāks nekā starp visiem iedzīvotājiem (35,2 %). Lielākā daļa romu dzīvo Kurzemē (27,3 %), Rīgas reģionā (22,4%), Latgalē (19,6%) un Zemgalē (19,2 %), bet vismazāk – Vidzemē (11,5 %). Atšķirībā no kopējā iedzīvotāju sadalījuma pa reģioniem, romi vairāk dzīvo ārpus Rīgas reģiona, bet gandrīz puse Latvijas iedzīvotāju dzīvo Rīgas reģionā (45,9 %). Novadi ar lielāko romu skaitu ir Tukuma novads ar 264 romiem, Talsu novads ar 246 romiem un Jēkabpils novads ar 207 romiem. Valstspilsētas ar lielāko romu skaitu ir Rīga (667), Ventspils (463), Jelgava (373), bet vismazākais romu skaits ir tādās valstspilsētās kā Ogre un Rēzekne. Starp pilsētām vislielākais romu īpatsvars ir Ventspilī (1,4 %) un Jēkabpilī (0,8 %). 2024. gada sākumā Latvijā bija 2 385 mājsaimniecības, kurās vismaz viena persona bija roms. No romu mājsaimniecībām 31,3 % bija vienas personas mājsaimniecību, kas salīdzinājumā ar vidējo Latvijas rādītāju – 43,3 % liecina par retāku vienas personas mājsaimniecību izplatību. Savukārt romi biežāk dzīvo tieši mājsaimniecībās, kurās ir vismaz 6 personas un vairāk – 13,3 %. Tā iemesli ir gan lielāks daudzbērnu ģimeņu skaits starp romiem, gan tas, ka romi salīdzinoši biežāk izvēlas dzīvot vairākas ģimenes vienā mājoklī. Vidēji Latvijā vien 3,4 % mājsaimniecību dzīvo sešas un vairāk personas. Pēdējo 12 gadu laikā gan līdzīgi kā sabiedrībā kopumā, palielinās vienas personas romu mājsaimniecību īpatsvars. 2024.gadā 1 023 romu mājsaimniecībās jeb 42,2 % no tām ir vismaz viens nepilngadīgs bērns. Salīdzinājumam – tikai 26,0 % no visām Latvijas mājsaimniecībām ir vismaz viens nepilngadīgs bērns. No 2 426 romu mājsaimniecībām 457 jeb 18,8 % mājsaimniecībās ir viens pieaugušais ar vienu vai vairākiem bērniem vecumā līdz 24 gadiem. Latvijas mājsaimniecību kopskaitā šādu mājsaimniecību īpatsvars ir tikai 10,3 %.</w:t>
            </w:r>
            <w:r w:rsidR="00000000" w:rsidRPr="00000000" w:rsidDel="00000000">
              <w:rPr>
                <w:vertAlign w:val="superscript"/>
                <w:rtl w:val="0"/>
              </w:rPr>
              <w:t xml:space="preserve">19</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19</w:t>
            </w:r>
            <w:r w:rsidR="00000000" w:rsidRPr="00000000" w:rsidDel="00000000">
              <w:rPr>
                <w:rtl w:val="0"/>
              </w:rPr>
              <w:t xml:space="preserve"> CSP, 2024. (Skatīts 26.07.2024.). Pieejams: https://stat.gov.lv/lv/statistikas-temas/labklajibas-un-vienlidzibas-raditaji/sociala-ieklausanas/sociala-ieklausanas-riska-grupa-romi”.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Kultūras ministrija 2024.gadā plāno veikt Plāna romu stratēģiskā ietvara pasākumu īstenošanai 2022.-2023.gadam ietekmes izvērtējumu, kura ietvaros tiks ņemta vērā arī pieejamā statistikas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4.10. punktā </w:t>
            </w:r>
            <w:r w:rsidR="00000000" w:rsidRPr="00000000" w:rsidDel="00000000">
              <w:rPr>
                <w:i w:val="1"/>
                <w:rtl w:val="0"/>
              </w:rPr>
              <w:t xml:space="preserve">Pasākumi romu skolēnu labākai piekļuvei izglītībai pašvaldību līmenī </w:t>
            </w:r>
            <w:r w:rsidR="00000000" w:rsidRPr="00000000" w:rsidDel="00000000">
              <w:rPr>
                <w:rtl w:val="0"/>
              </w:rPr>
              <w:t xml:space="preserve">lūgums  papildus  IZM kā atbildīgo  norādīt arī pašvaldības, jo izglītības iestādes dibinātājs nodrošina  attiecīgā pedagoģiskā personāla pieejamību izglītības iestādēs.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IV.nodaļas “Pasākumi plāna mērķa sasniegšanai” 4.10.pasākuma “Pasākumi romu skolēnu labākai piekļuvei izglītībai pašvaldību līmenī” sadaļa “Līdzatbildīgās institūcijas” papildināta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- 09.04.2024.)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pasākuma Nr.4.16. ir ietverta atsauce Nr.64 uz Mājokļu pieejamības pamatnostādnēm, norādot, ka attiecīgās pamatnostādnes pieejamas Tiesību aktu portālā. Lūdzam precizēt atsauci pamatnostādnēm, norādot oficiālo saiti no likumi.lv, ņemot vērā, ka pamatnostādnes ir apstirpinātas.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64.zemsvītras atsauce precizēta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vertAlign w:val="superscript"/>
                <w:rtl w:val="0"/>
              </w:rPr>
              <w:t xml:space="preserve">64 </w:t>
            </w:r>
            <w:r w:rsidR="00000000" w:rsidRPr="00000000" w:rsidDel="00000000">
              <w:rPr>
                <w:rtl w:val="0"/>
              </w:rPr>
              <w:t xml:space="preserve">Mājokļu pieejamības pamatnostādnes 2023.-2027.gadam. Apstiprinātas ar Ministru kabineta 2023.gada 8.novembra rīkojumu Nr.739 (prot. Nr.49 46.§). Pieejamas: https://likumi.lv/ta/id/347211-par-majoklu-pieejamibas-pamatnostadnem-20232027-gadam”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plāna projekta 4.14.pasākuma "Izpildes termiņu" 2027.gada II pusgads un 61.zemsvītras atsaucē minēto, norādot konkrēti kādu pasākumu īstenošana šeit ir domāta. Vienlaikus lūdzam svītrot no zemsvītras atsauces terminu "darbības programma", jo tas attiecas uz Eiropas Savienības struktūrfondu un Kohēzijas fonda 2014.–2020.gada plānošanas periodu.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61.zemsvītras atsauce precizēta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vertAlign w:val="superscript"/>
                <w:rtl w:val="0"/>
              </w:rPr>
              <w:t xml:space="preserve">61</w:t>
            </w:r>
            <w:r w:rsidR="00000000" w:rsidRPr="00000000" w:rsidDel="00000000">
              <w:rPr>
                <w:rtl w:val="0"/>
              </w:rPr>
              <w:t xml:space="preserve"> Saskaņā ar Eiropas Savienības kohēzijas politikas programmas 2021.–2027.gadam 4.1.2.specifiskā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4.1.2.1.pasākuma „Nacionāla mēroga veselības veicināšanas un slimību profilakses pasākumi” projekta „Nacionāla mēroga veselības veicināšanas un slimību profilakses pasākumi (Nr.4.1.2.1/1/24/I/001)” kopējais īstenošanas laiks ir līdz 2029.gada 31.decembrim.”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projektā pie 4.13.Uzdevums/ Pasākuma norādīto attiecībā uz "74.06.00 „Atveseļošanas un noturības mehānisma (ANM) projekti un pasākumi”", jo 76.zemsvītrā norādītais nav attiecināms nedz uz ANM, nedz 2024.-2027.gadu.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VI.nodaļas “Ietekmes novērtējums uz valsts un pašvaldību budžetu” 4.13.pasākumam sadaļā “Budžeta programmas (apakšprogrammas) kods un nosaukums” svītrota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“63.07.00. “Eiropas Sociālā fonda (ESF) īstenotie projekti labklājības nozarē (2014-2020)</w:t>
            </w:r>
            <w:r w:rsidR="00000000" w:rsidRPr="00000000" w:rsidDel="00000000">
              <w:rPr>
                <w:vertAlign w:val="superscript"/>
                <w:rtl w:val="0"/>
              </w:rPr>
              <w:t xml:space="preserve">75</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75</w:t>
            </w:r>
            <w:r w:rsidR="00000000" w:rsidRPr="00000000" w:rsidDel="00000000">
              <w:rPr>
                <w:rtl w:val="0"/>
              </w:rPr>
              <w:t xml:space="preserve"> 2022.-2023.gadā pasākums tika īstenots ESF darbības programmas 2014.-2020.gadam „Izaugsme un nodarbinātība” 7.1.1.specifiskā atbalsta mērķa „Paaugstināt bezdarbnieku kvalifikāciju un prasmes atbilstoši darba tirgus pieprasījumam” ietvaros (projekta Nr. 7.1.1.0/15/I/001); 2024.-2026.gadā Eiropas Savienības Atveseļošanas un noturības mehānisma plāna 3.1.reformu un investīciju virziena „Reģionālā politika” 3.1.2.reformas „Sociālo un nodarbinātības pakalpojumu pieejamība minimālo ienākumu reformas atbalstam” 3.1.2.5.i. investīcijas „Bezdarbnieku, darba meklētāju un bezdarba riskam pakļauto iedzīvotāju iesaiste darba tirgū”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79.zemsvītras atsauce izteikta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vertAlign w:val="superscript"/>
                <w:rtl w:val="0"/>
              </w:rPr>
              <w:t xml:space="preserve">79</w:t>
            </w:r>
            <w:r w:rsidR="00000000" w:rsidRPr="00000000" w:rsidDel="00000000">
              <w:rPr>
                <w:rtl w:val="0"/>
              </w:rPr>
              <w:t xml:space="preserve"> 2024.-2026.gadā Eiropas Savienības Atveseļošanas un noturības mehānisma plāna 3.1.reformu un investīciju virziena „Reģionālā politika” 3.1.2.reformas „Sociālo un nodarbinātības pakalpojumu pieejamība minimālo ienākumu reformas atbalstam” 3.1.2.5.i. investīcijas „Bezdarbnieku, darba meklētāju un bezdarba riskam pakļauto iedzīvotāju iesaiste darba tirgū”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2022.-2023.gadā pasākums tika īstenots ESF darbības programmas 2014.-2020.gadam „Izaugsme un nodarbinātība” 9.1.1.specifiskā atbalsta mērķa „Palielināt nelabvēlīgākā situācijā esošu bezdarbnieku iekļaušanos darba tirgū” 9.1.1.1.pasākuma „Subsidētās darbavietas nelabvēlīgākā situācijā esošiem bezdarbniekiem” (projekta Nr.9.1.1.1./15/I/001)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romu mērķa grupai netika noteikts, jo šīs personas aktīvās darba tirgus politikas pasākumu kontekstā ir daļa no kopējās mērķa grupas – Nodarbinātības valsts aģentūrā reģistrētie bezdarbnieki un darba meklētāji, ieskaitot romu tautības pārstāvjus.”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75. un 76.zemsvītras atsauci, jo plāna projekts nosaukums ir "Plāns romu stratēģiskā ietvara pasākumu īstenošanai</w:t>
            </w:r>
            <w:r w:rsidR="00000000" w:rsidRPr="00000000" w:rsidDel="00000000">
              <w:rPr>
                <w:b w:val="1"/>
                <w:rtl w:val="0"/>
              </w:rPr>
              <w:t xml:space="preserve"> 2024.-2027. gadam</w:t>
            </w:r>
            <w:r w:rsidR="00000000" w:rsidRPr="00000000" w:rsidDel="00000000">
              <w:rPr>
                <w:rtl w:val="0"/>
              </w:rPr>
              <w:t xml:space="preserve">", tātad laika periodam 2024.-2027. gads, taču ne viss zemsvītras atsaucē minētais ir attiecināms uz attiecīgo periodu. Tā piemēram, projekta Nr. 7.1.1.0/15/I/001 "Atbalsts bezdarbnieku izglītībai" ieviešanas beigu datums bija 2023.gada 31.decembris.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75.zemsvītras atsauce būtu papildināma ar Eiropas Savienības kohēzijas politikas programma 2021.–2027.gadam ietvaros plānoto 4.3.3.1.pasākumu "Bezdarbnieku, darba meklētāju un bezdarba riskam pakļauto personu kvalifikācijas un prasmju paaugstināšana", kura īstenošanu plānots indikatīvi 2026.gadā.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VI.nodaļas “Ietekmes novērtējums uz valsts un pašvaldību budžetu” 4.13.pasākumam sadaļā “Budžeta programmas (apakšprogrammas) kods un nosaukums” svītrota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“63.07.00. “Eiropas Sociālā fonda (ESF) īstenotie projekti labklājības nozarē (2014-2020)</w:t>
            </w:r>
            <w:r w:rsidR="00000000" w:rsidRPr="00000000" w:rsidDel="00000000">
              <w:rPr>
                <w:vertAlign w:val="superscript"/>
                <w:rtl w:val="0"/>
              </w:rPr>
              <w:t xml:space="preserve">75</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75</w:t>
            </w:r>
            <w:r w:rsidR="00000000" w:rsidRPr="00000000" w:rsidDel="00000000">
              <w:rPr>
                <w:rtl w:val="0"/>
              </w:rPr>
              <w:t xml:space="preserve"> 2022.-2023.gadā pasākums tika īstenots ESF darbības programmas 2014.-2020.gadam „Izaugsme un nodarbinātība” 7.1.1.specifiskā atbalsta mērķa „Paaugstināt bezdarbnieku kvalifikāciju un prasmes atbilstoši darba tirgus pieprasījumam” ietvaros (projekta Nr.7.1.1.0/15/I/001); 2024.-2026.gadā Eiropas Savienības Atveseļošanas un noturības mehānisma plāna 3.1.reformu un investīciju virziena „Reģionālā politika” 3.1.2.reformas „Sociālo un nodarbinātības pakalpojumu pieejamība minimālo ienākumu reformas atbalstam” 3.1.2.5.i. investīcijas „Bezdarbnieku, darba meklētāju un bezdarba riskam pakļauto iedzīvotāju iesaiste darba tirgū”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79.zemsvītras atsauce izteikta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vertAlign w:val="superscript"/>
                <w:rtl w:val="0"/>
              </w:rPr>
              <w:t xml:space="preserve">79</w:t>
            </w:r>
            <w:r w:rsidR="00000000" w:rsidRPr="00000000" w:rsidDel="00000000">
              <w:rPr>
                <w:rtl w:val="0"/>
              </w:rPr>
              <w:t xml:space="preserve"> 2024.-2026.gadā Eiropas Savienības Atveseļošanas un noturības mehānisma plāna 3.1.reformu un investīciju virziena „Reģionālā politika” 3.1.2.reformas „Sociālo un nodarbinātības pakalpojumu pieejamība minimālo ienākumu reformas atbalstam” 3.1.2.5.i. investīcijas „Bezdarbnieku, darba meklētāju un bezdarba riskam pakļauto iedzīvotāju iesaiste darba tirgū”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2022.-2023.gadā pasākums tika īstenots ESF darbības programmas 2014.-2020.gadam „Izaugsme un nodarbinātība” 9.1.1.specifiskā atbalsta mērķa „Palielināt nelabvēlīgākā situācijā esošu bezdarbnieku iekļaušanos darba tirgū” 9.1.1.1.pasākuma „Subsidētās darbavietas nelabvēlīgākā situācijā esošiem bezdarbniekiem” (projekta Nr.9.1.1.1./15/I/001)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romu mērķa grupai netika noteikts, jo šīs personas aktīvās darba tirgus politikas pasākumu kontekstā ir daļa no kopējās mērķa grupas – Nodarbinātības valsts aģentūrā reģistrētie bezdarbnieki un darba meklētāji, ieskaitot romu tautības pārstāvjus.”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saīsinājumu sadaļu ar saīsinājumu un tā atšifrējumu “ESF+ – Eiropas Sociālais fonds Plus”. Vienlaikus lūdzam precizēt arī plāna projektu, norādot korektu fonda “Eiropas Sociālais fonds Plus” nosaukumu, jo </w:t>
            </w:r>
            <w:r w:rsidR="00000000" w:rsidRPr="00000000" w:rsidDel="00000000">
              <w:rPr>
                <w:b w:val="1"/>
                <w:rtl w:val="0"/>
              </w:rPr>
              <w:t xml:space="preserve">2021. - 2027.gada plānošanas periodā tas ir Eiropas Sociālais fonds Plus (turpmāk – ESF+)</w:t>
            </w:r>
            <w:r w:rsidR="00000000" w:rsidRPr="00000000" w:rsidDel="00000000">
              <w:rPr>
                <w:rtl w:val="0"/>
              </w:rPr>
              <w:t xml:space="preserve">. Savukārt,</w:t>
            </w:r>
            <w:r w:rsidR="00000000" w:rsidRPr="00000000" w:rsidDel="00000000">
              <w:rPr>
                <w:b w:val="1"/>
                <w:rtl w:val="0"/>
              </w:rPr>
              <w:t xml:space="preserve"> Eiropas Savienības struktūrfondu un Kohēzijas fonda 2014.–2020.gada plānošanas periodā "ESF - Eiropas Sociālais fonds.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EIROPAS PARLAMENTA UN PADOMES (2021.gada 24.jūnija regulu (ES) 2021/1057, ar ko izveido Eiropas Sociālo fondu Plus (ESF+) un atceļ Regulu (ES) Nr.1296/2013 izveido Eiropas Sociālo fondu Plus (ESF+)[1], kas sastāv no divām sadaļām: dalīti pārvaldītās sadaļas (“dalīti pārvaldītā ESF+ sadaļa”) un Nodarbinātības un sociālās inovācijas sadaļas (“EaSI sadaļa)[1].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https://eur-lex.europa.eu/legal-content/LV/TXT/PDF/?uri=CELEX:32021R1060&amp;from=LV%20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sadaļa “Izmantoto saīsinājumu saraksts” papildināta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ESF+ - Eiropas Sociālais fonds Plus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Plāna projekts, norādot korektus fonda nosaukumus.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V.Ietekmes novērtējums uz valsts un pašvaldību budžetu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4.13.Romu nodarbinātības veicināšana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04.02.00 "Nodarbinātības speciālais budžets"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 atsauci - Ņemot vērā, ka finansējums romu mērķa grupai netika noteikts, šīs personas ir daļa no kopējās mērķa grupas, nav iespējams norādīt finansējumu konkrēti romu mērķa grupai.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VI.nodaļas “Ietekmes novērtējums uz valsts un pašvaldību budžetu” 4.13.pasākums papildināts ar zemsvītras atsauci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sz w:val="20"/>
                <w:vertAlign w:val="superscript"/>
                <w:rtl w:val="0"/>
              </w:rPr>
              <w:t xml:space="preserve">81</w:t>
            </w:r>
            <w:r w:rsidR="00000000" w:rsidRPr="00000000" w:rsidDel="00000000">
              <w:rPr>
                <w:rtl w:val="0"/>
              </w:rPr>
              <w:t xml:space="preserve"> Finansējums romu mērķa grupai netika noteikts, jo šīs personas aktīvās darba tirgus politikas pasākumu kontekstā ir daļa no kopējās mērķa grupas – Nodarbinātības valsts aģentūrā reģistrētie bezdarbnieki un darba meklētāji, ieskaitot romu tautības pārstāvjus.”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V.Ietekmes novērtējums uz valsts un pašvaldību budžetu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4.13.Romu nodarbinātības veicināšana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63.07.00 "Eiropas Sociālā fonda (ESF) īstenotie projekti labklājības nozarē (2014-2020)"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75. atsaucē norādīts, ka attiecīgā projekta pasākums tiek īstenots 2022.-2023.gadā , savukārt plāna projektā nepieciešams ietvert finansiālo informāciju par 2024.-2027.gadu, uzskatām, ka dzēšama tabulas informācija par 4.13.pasākuma apakšprogrammu  63.07.00 „Eiropas Sociālā fonda (ESF) īstenotie projekti labklājības nozarē (2014-2020)” , vienlaikus dzēšot 75. atsauci.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76. atsauci izteikt šādā redakcijā “2024.-2026.gadā 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2022.-2023.gadā pasākums tika īstenots ESF darbības programmas 2014.-2020.gadam „Izaugsme un nodarbinātība” 9.1.1. specifiskā atbalsta mērķa „Palielināt nelabvēlīgākā situācijā esošu bezdarbnieku iekļaušanos darba tirgū” 9.1.1.1. pasākuma „Subsidētās darbavietas nelabvēlīgākā situācijā esošiem bezdarbniekiem” (projekta Nr. 9.1.1.1./15/I/001)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VI.nodaļas “Ietekmes novērtējums uz valsts un pašvaldību budžetu” 4.13.pasākumam sadaļā “Budžeta programmas (apakšprogrammas) kods un nosaukums” svītrota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“63.07.00. “Eiropas Sociālā fonda (ESF) īstenotie projekti labklājības nozarē (2014-2020)</w:t>
            </w:r>
            <w:r w:rsidR="00000000" w:rsidRPr="00000000" w:rsidDel="00000000">
              <w:rPr>
                <w:vertAlign w:val="superscript"/>
                <w:rtl w:val="0"/>
              </w:rPr>
              <w:t xml:space="preserve">75</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75</w:t>
            </w:r>
            <w:r w:rsidR="00000000" w:rsidRPr="00000000" w:rsidDel="00000000">
              <w:rPr>
                <w:rtl w:val="0"/>
              </w:rPr>
              <w:t xml:space="preserve"> 2022.-2023.gadā pasākums tika īstenots ESF darbības programmas 2014.-2020.gadam „Izaugsme un nodarbinātība” 7.1.1.specifiskā atbalsta mērķa „Paaugstināt bezdarbnieku kvalifikāciju un prasmes atbilstoši darba tirgus pieprasījumam” ietvaros (projekta Nr. 7.1.1.0/15/I/001); 2024.-2026.gadā Eiropas Savienības Atveseļošanas un noturības mehānisma plāna 3.1.reformu un investīciju virziena „Reģionālā politika” 3.1.2.reformas „Sociālo un nodarbinātības pakalpojumu pieejamība minimālo ienākumu reformas atbalstam” 3.1.2.5.i. investīcijas „Bezdarbnieku, darba meklētāju un bezdarba riskam pakļauto iedzīvotāju iesaiste darba tirgū”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79.zemsvītras atsauce izteikta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vertAlign w:val="superscript"/>
                <w:rtl w:val="0"/>
              </w:rPr>
              <w:t xml:space="preserve">79</w:t>
            </w:r>
            <w:r w:rsidR="00000000" w:rsidRPr="00000000" w:rsidDel="00000000">
              <w:rPr>
                <w:rtl w:val="0"/>
              </w:rPr>
              <w:t xml:space="preserve"> 2024.-2026.gadā Eiropas Savienības Atveseļošanas un noturības mehānisma plāna 3.1.reformu un investīciju virziena „Reģionālā politika” 3.1.2.reformas „Sociālo un nodarbinātības pakalpojumu pieejamība minimālo ienākumu reformas atbalstam” 3.1.2.5.i. investīcijas „Bezdarbnieku, darba meklētāju un bezdarba riskam pakļauto iedzīvotāju iesaiste darba tirgū”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2022.-2023.gadā pasākums tika īstenots ESF darbības programmas 2014.-2020.gadam „Izaugsme un nodarbinātība” 9.1.1.specifiskā atbalsta mērķa „Palielināt nelabvēlīgākā situācijā esošu bezdarbnieku iekļaušanos darba tirgū” 9.1.1.1.pasākuma „Subsidētās darbavietas nelabvēlīgākā situācijā esošiem bezdarbniekiem” (projekta Nr.9.1.1.1./15/I/001)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romu mērķa grupai netika noteikts, jo šīs personas aktīvās darba tirgus politikas pasākumu kontekstā ir daļa no kopējās mērķa grupas – Nodarbinātības valsts aģentūrā reģistrētie bezdarbnieki un darba meklētāji, ieskaitot romu tautības pārstāvjus.”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56.zemsvītras atsauci (17.lapā) izteikt šādā redakcijā: "Pasākums tiek īstenots Eiropas Savienības Kohēzijas politikas programmas 2021.-2027.gadam 4.2.3. specifiskā atbalsta mērķa "Sekmēt to, lai - jo īpaši nelabvēlīgā situācijā esošām gruipām - būtu vienlīdzīga piekļuve kvalitatīvai un iekļaujošai izglītībai un mācībām un iespēja to iegūt, sākot ar pirmsskalas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 " 4.2.3.4.pasākumu "Sekmēt NEET jauniešu integrēsānos izglītībā un nodarbinātībā" (projekta Nr.4.2.3.4./1/24/I/001)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55.zemsvītras atsauce precizēta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vertAlign w:val="superscript"/>
                <w:rtl w:val="0"/>
              </w:rPr>
              <w:t xml:space="preserve">55</w:t>
            </w:r>
            <w:r w:rsidR="00000000" w:rsidRPr="00000000" w:rsidDel="00000000">
              <w:rPr>
                <w:rtl w:val="0"/>
              </w:rPr>
              <w:t xml:space="preserve"> Pasākums tiek īstenots Eiropas Savienības Kohēzijas politikas programmas 2021.-2027.gadam 4.2.3.specifiskā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 4.2.3.4.pasākumu „Sekmēt NEET jauniešu integrēšanos izglītībā un nodarbinātībā” (projekta Nr.4.2.3.4./1/24/I/001)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romu stratēģiskā ietvara pasākumu īstenošanai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4.9.punktā (17.lapā) labot projekta nosaukumu no "PROTI UN DARI!" uz "PROTI un DARI 2.0"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IV.nodaļā “Pasākumi plāna mērķa sasniegšanai” 4.9.pasākumā “Pasākumi, kas novērš priekšlaicīgu mācību pārtraukšanu un mācību pārtraukšanu visos izglītības līmeņos un veicina atgriešanos izglītībā un darba tirgū” precizēts projekta nosaukums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PROTI UN DARI 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24-TA-487</w:t>
    </w:r>
    <w:r>
      <w:br/>
    </w:r>
    <w:r w:rsidR="00000000" w:rsidRPr="00000000" w:rsidDel="00000000">
      <w:rPr>
        <w:rtl w:val="0"/>
      </w:rPr>
      <w:t xml:space="preserve">31.07.2024. 11.47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24-TA-487</w:t>
    </w:r>
    <w:r>
      <w:br/>
    </w:r>
    <w:r w:rsidR="00000000" w:rsidRPr="00000000" w:rsidDel="00000000">
      <w:rPr>
        <w:rtl w:val="0"/>
      </w:rPr>
      <w:t xml:space="preserve">31.07.2024. 11.47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Izziņa_24-TA-487.docx</dc:title>
</cp:coreProperties>
</file>

<file path=docProps/custom.xml><?xml version="1.0" encoding="utf-8"?>
<Properties xmlns="http://schemas.openxmlformats.org/officeDocument/2006/custom-properties" xmlns:vt="http://schemas.openxmlformats.org/officeDocument/2006/docPropsVTypes"/>
</file>