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23-TA-2391: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4.punkts paredz, kad šo pasākumu mērķa grupa ir zemes īpašnieki, ne anotācijā, ne arī kādā citā šā tiesību akta projekta normā nav paredzēta konkrētās īpaši aizsargājamās teritorijās ietilpstošo īpašnieku iesaiste dabas aizsardzības plāna izstrādē, viņu viedokļu noskaidrošana. Nav paredzētas arī uzraudzības grupas izveide projektu realizācijas laikā. Aicinām pilnveidot tiesību akta projekta redakciju, paredzot zemes īpašnieku un iedzīvotāju viedokļa noskaidrošanu, kā obligātu dabas aizsardzības plāna sagatavošanas sastāvdaļu.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37.6. apakšpunkts un projekta anotācija 2.1. sadaļa par tiesiskā regulējuma ietekmi uz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2.2.3.3.pasākuma ietvaros dabas aizsardzības plānu izstrāde tiks organizēta atbilstoši 2007.gada 9.oktobra Ministru kabineta noteikumu Nr. 686 “Noteikumi par īpaši aizsargājamās dabas teritorijas dabas aizsardzības plāna saturu un izstrādes kārtību” (turpmāk -  MK noteikumi Nr.686). MK noteikumi Nr. 686 (III un IV nodaļa) jau nosaka prasības dabas aizsardzības plānu izstrādes laikā iesaistīt dažādas mērķa grupas gan uzsākot plāna izstrādi, gan veidojot  plāna konsultatīvās grupas, gan plāna sabiedriskās apspriešanas procesā. Visos šajos procesos var iesaistīties gan zemes īpašnieki, gan to pārstāvošās organizācijas, tādējādi nav nepieciešams dublēt normas tiesību aktos vai organizēt papildu uzraudzības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 tā kā šim 2.2.3.3.pasākumam ir definēta mērķa grupa, tad tas ir obligāts projektu vērtēšanas vienotais kritērijs, kurš tiks piemērots visiem projektiem. Vienlaikus.2.2.3.3.pasākuma otrajai atlases kārtai ir izstrādāts projektu vērtēšanas kvalitātes kritērijs Nr. 3.4., kurā ir paredzēts, ka papildus MK noteikumu projektā  paredzētajām apspriedēm tiek paredzēti arī citi sabiedrību izglītojoši vai dabas izglītības pasākumi, lai skaidrotu dabas vērtību nozīmi un nepieciešamos apsaimniekošanas pasākumus kontētā dabas aizsargājamā teritorijā. Šajos pasākumos ir jāiesaista arī zemes īpašnieki.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partnerim (ja to pieaicina)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SAM MK noteikumos ir jāparedz nepieciešamību finansējuma saņēmējam veikt projekta izmaksu un ieguvumu analīzi, ja projekta kopējās izmaksas ir lielākas par 1 miljonu euro, vai arī Atbildīgā iestāde SAM MK noteikumu anotācijā pamato kādēļ var nepiemērot minēto risinājumu, ierosinām papildināt MK noteikumus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iesniegumam pievieno izmaksu un ieguvumu analīzi saskaņā ar tiesību aktiem par Eiropas Savienības fondu ieviešanu 2021.–2027.gada plānošanas periodā, ja projekta kopējās izmaksas ir lielākas par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MK noteikumos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maksimālais kopējo izmaksu apmērs nav lielāks par 1 000 000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par izmaksu samērīgumu pret ieguvumiem. Vienlaikus norādām, ka lai arī Ministru kabineta 2023. gada 13. jūlija sēdes protokollēmums (prot. Nr. 36 85. § 3. punkts) nosaka, ka SAM MK noteikumi paredz nepieciešamību finansējuma saņēmējam veikt projekta izmaksu un ieguvumu analīzi, ja projekta kopējās izmaksas ir lielākas par 1 miljonu euro, tā pat  protokollēmums nosaka, ka Atbildīgā iestāde SAM MK noteikumu anotācijā var  pamatot kādēļ var nepiemērot minēto risinājumu. 2.2.3.3. pasākuma ietvaros Atbildīgā iestāde ir izstrādājusi kritēriju Nr. 2.1., kur nosaka, ka dabas aizsardzības plānos tiks iestrādāts  ĪADT sociālekonomiskais novērtējums vai ekosistēmu pakalpojumu novērtējums, kurā iekļauti ekonomiskās ietekmes sektori un ekonomiskās ietekmes kritēriji. Kā arī anotācija ir  papildināta ar informāciju par nepieciešamību dabas aizsardzības plānos iestrādāt kritērijā Nr.2.1.  minēto sociālekonomisko novērtējumu vai ekosistēmu pakalpojumu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partnerim (ja to pieaicina)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tiešās attiecināmās projekta vadības un īstenošanas personāla atlīdzības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vadības un īstenošanas personāla atlīdzības likmes apmērs vēl ir saskaņošanas procesā ar vadošo iestādi, šobrīd nevaram atbalstīt noteikumu projektā norādītos likmju apmērus katrai no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saskaņā ar vadošās iestādes norādēm.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netiešās attiecināmās izmaksas plāno kā vienu izmaksu pozīciju, piemērojot netiešo izmaksu vienoto likmi 15 procentu apmērā no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27.punktā ietverto atsauci uz noteikumu projekta 25.3.apakšpunktu, ņemot vērā, ka netiešās attiecināmās izmaksas rēķina no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28.punkta (mainīta MK noteikumu projekta punktu numerācija) dzēšot atsauci uz 25.3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netiešās attiecināmās izmaksas plāno kā vienu izmaksu pozīciju, piemērojot netiešo izmaksu vienoto likmi 15 procentu apmērā no šo noteikumu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izmaksas ir attiecināmas no 2023. gada 1. janvāra, taču projekta darbības nevar būt pabeigtas pirms projekta iesnieguma iesniegšanas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 arī papildināt Ministru kabineta sēdes protokollēmuma projektu, nosakot finanšu plūsmas pirms projekta apstiprināšanas nodrošināšanas nosacījumus pirmās atlases kārtas ietvaros, kā arī atbildīgās iestādes pienākumus un atbildību gadījumos, ja pirms pirmās atlases kārtas projekta apstiprināšanas radušās izmaksas nav attiecināmas no Eiropas Savienības fondu līdzekļiem, ņemot vērā, ka projekta izmaksas paredzēts attiecināt jau no 2023. gada 1. janvāra, un pirmās atlases kārtas ietvaros finansējuma saņēmējs ir valsts budžeta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 un MK sēdes protokollēmumā.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izmaksas ir attiecināmas no 2023. gada 1. janvāra, taču projekta darbības nevar būt pabeigtas pirms projekta iesnieguma iesniegšanas sadarbības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Īstenojot projektu, finansējuma saņēmējs un sadarbības partneris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finansējuma saņēmēja un sadarbības partnera sadarbības pamatprincipus, pienākumus un tiesības, mērķu un rādītāju savstarpējo sasniegšanas dalījumu (ja attiecināms). Tāpat nepieciešams skaidri norādīt sadarbības partnera veicamās darbības un resursus, ar kādiem tas iesaistās projektā, un, ja tiek slēgts sadarbības līgums, noteikumu projektā ir jāatrunā tā galvenie aspekti (atbildība, funkcijas utt.), ņemot vērā, ka noteikumu projektā paredzēts sadarbības partneris. Atbilstoši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 izpildot minētās prasības, noteikumu projektā nedublē normatīvajos aktos, kas nosaka kārtību, kādā Eiropas Savienības fondu vadībā iesaistītās institūcijas nodrošina šo fondu ieviešanu 2021.–2027. gada plānošanas periodā, noteikto regulējumu, tostarp, to 6. punktā ietvertos nosacījumus par sadarbības līgumā iekļaujamo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18.punkts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Īstenojot projektu, finansējuma saņēmējs un sadarbības partneris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izstrādā nosacījumus, kā arī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kā arī finansējuma saņēmējs un sadarbības partneris paraksta apliecinājumu par interešu konflikta neesamību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publiskos iepirkumus regulējošo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punktu Nr. 30, kā arī papildināta anotāciju ar informāciju par kārtību kā finansējuma saņēmējs un sadarbības partneris (ja attiecināms) pārliecinās par interešu konflikta, krāpšanas un korupcijas risku neesamību.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otrās atlases kārtas ietvaros pēc vienošanās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 punktu, jo, ja finansējuma saņēmējs ir pašvaldība, noteikumu projektā jāietver nosacījums, ka finansējuma saņēmējs avansa pieprasījumu sagatavo, un sadarbības iestāde avansa pieprasījumu apstiprina, ņemot vērā nosacījumu, ka plānotā avansa apmērs, tā pamatojums atbilst spējai to izlietot saimnieciskā gada ietvaros (piemēram, sešu mēnešu laikā), kā arī, ievērojot, ka avansa un starpposma maksājumu kopsumma nepārsniedz 90 procentus no projektam piešķirtā Eiropas Reģionālās attīstības fonda finansējuma un valsts budžeta līdzfinansējuma kopsummas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arī anotāciju ar skaidrojumu par avansa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un nepieciešamības gadījumā svītrot noteikumu projekta 38. punktu, vai norādīt atlases kārtu uz kuru attiecas minētais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39.punkts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Pasākuma otrās atlases kārtas ietvaros pēc vienošanās vai civiltiesiskā līguma par projekta īstenošanu noslēgšanas sadarbības iestāde apstiprina finansējuma saņēmēja sagatavoto avansa pieprasījumu, ņemot vērā nosacījumu, ka plānotā avansa apmērs, tā pamatojums atbilst spējai to izlietot saimnieciskā gada ietvaros sešu mēnešu laikā, kā arī, ievērojot, ka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paredzēts ka tiek izstrādāts vai nu  sociālekonomiskais novērtējums, vai ekosistēmu pakalpojumu novērtējums. Sociālekonomiskajam vērtējumam ir jābūt kā obligātam nosacījumam projekta realizācijā, jo kā liecina iepriekšējā pieredze, piemēram, ar Gaujas Nacionālā parka dabas aizsardzības plāna izstrādi, plānos var tikt piedāvāts mainīt IADT zonējumu un/vai  apsaimniekošanas režīmu maiņu, kas var atstāt būtisku sociālekonomisko iespaidu uz konkrētajā teritorijā dzīvojošajiem iedzīvotājiem un nozarēm, kas tajā darbojas.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projekta iesniegumā ir jāapliecina, ka izstrādātajā dabas aizsardzības plānā tiks iestrādāts sociālekonomiskais novērtējums par ĪADT, kurai tiek izstrādāts dabas aizsardzības plāns" vai ""Projekta iesniedzējam projekta iesniegumā ir jāapliecina, ka izstrādātajā dabas aizsardzības plānā tiks iestrādāts sociālekonomiskais novērtējums un ekosistēmu pakalpojumu novērtējums par ĪADT, kurai tiek izstrādāts dabas aizsardzības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sociālekonomisko novērtējumu un ekosistēmu pakalpojumu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katrā dabas aizsardzības plānā tiek paredzēta nepieciešamība veikt sociālekonomisko analīzi  atbilstoši 2007. gada 9.oktobra MK noteikumiem Nr. 686 “Noteikumi par īpaši aizsargājamās dabas teritorijas dabas aizsardzības plāna saturu un izstrādes kārtību” (turpmāk MK noteikumi Nr. 686), kur, atbilstoši 9.3. un 9.4. apakšpunktu nosacījumiem, dabas aizsardzības plānos ir jāietver informācija par  iedzīvotāju daudzumu un nodarbinātību, apdzīvotām teritorijām, pašreizējo un paredzamo antropogēno slodzi uz aizsargājamo teritoriju, kā arī   aizsargājamās teritorijas lietošanas veidu. Sociālekonomiskais novērtējums ir jāveic gan sugām, gan biotopiem, gan ainavai, gan teritorijai kopumā. Tā pat MK noteikumu Nr. 686 9.5. apakšpunkts paredz, ka dabas aizsardzības plānā tiek sniegta informācija par aizsargājamās teritorijas īstermiņa un ilgtermiņa apsaimniekošanu,  apsaimniekošanas pasākumiem, kā arī atbilstoši 9.7. apakšpunkta nosacījumiem – tiek sniegti priekšlikumi par aizsargājamās teritorijas individuālo aizsardzības un izmantošanas noteikumu projektu vai grozījumiem individuālajos aizsardzības un izmantošanas noteikumos, ieteicamo teritorijas funkcionālo zonējumu, kā arī priekšlikumus par grozījumiem funkcionālajā zonējumā..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noteikumos Nr. 686 noteiktajam,  projektu vērtēšanas kritērijs Nr.2.1. paredz, ka dabas aizsardzības plānos tiek iestrādāts ĪADT sociālekonomiskais novērtējums vai ekosistēmu pakalpojumu novērtējums, kur novērtējumā iekļauj informāciju par ekonomiskās ietekmes sektoriem, piemēram, mežsaimniecību, tūrismu, lauksaimniecību, uzņēmējdarbības iespējām utt., atbilstoši konkrētās teritorijas īpašībām un tās attīstības perspektīvām. Norādām, ka 2.1.kritērijā, vai attiecas uz ekosistēmu pakalpojumu novērtējumu nevis un sociālekonomisko novērtējumu, ko jau obligātu nosaka normatīvo aktu prasības. Projekta iesniedzējam ir izvēlēs iespējas, vai gatavot atsevišķu ekosistēmu pakalpojumu novērtējumu vai integrēt visas prasības, t.sk. situācijas analīzi uz dažādiem saimnieciskajiem sektoriem, kopējā sociālekonomiskajā novērtējumā dabas aizsardzības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pašvaldību budžeta līdzfinansējuma apmēru pasākuma otrās atlases kārtas īstenošanai, lai tas atbilstu noteikumu projekta 10.punktā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sabiedrībai nerastos maldīgs priekšstats, ka tiek aizsargātas tikai Natura 2000 teritorijas, kā arī būtu pieejama informācija par  īpaši aizsargājamo dabas teritoriju apmēru Latvijā, lūdzam anotācijā norādīt ka Latvijā IADT ir iekļauti 1,19 miljoni hektāru sauszemes teritorijas jeb 18,45% no Latvijas sauszemes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par aizsardzības pasākumu veikšanu attiecībā uz</w:t>
            </w:r>
            <w:r w:rsidR="00000000" w:rsidRPr="00000000" w:rsidDel="00000000">
              <w:rPr>
                <w:i w:val="1"/>
                <w:rtl w:val="0"/>
              </w:rPr>
              <w:t xml:space="preserve"> Natura 2000 </w:t>
            </w:r>
            <w:r w:rsidR="00000000" w:rsidRPr="00000000" w:rsidDel="00000000">
              <w:rPr>
                <w:rtl w:val="0"/>
              </w:rPr>
              <w:t xml:space="preserve">teritorijām, kā arī par aizsardzības pasākumiem attiecībā uz īpaši aizsargājamām dabas teritorijām, kā arī norādot, ka atbilstoši Vides politikas īstenošanas 2022. gada pārskatam par Latviju, 18,2% no Latvijas sauszemes teritorijām un 15,65% no jūras teritorijām ir ĪADT (ar pārskatu var iepazīties šeit: https://eur-lex.europa.eu/legal-content/LV/TXT/?uri=comnat%3ASWD_2022_0276_FIN vai https://www.daba.gov.lv/lv/aizsargajamo-teritoriju-platiba ).   ĪADT sauszemes pamatteritoriju kopējā platība (bez pārklāšanās) sasniedz 18,45 % no Latvijas kopējās platības, bet ĪADT jūras pamatteritorijas (bez pārklāšanās) sasniedz 15,65% no Latvijas teritorijas platības.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komercdarbības atbalsta kontroles kontekstā papildināt anotāciju ar skaidrojumu, vai pasākums ir kvalificējams kā komercdarbības atbalsts, piemēram, arī par pašvaldībām otrās atlases kārtas ietvaros, norādot, no kurām pašvaldībām noteiktajām funkcijām izriet deleģējums veikt konkrētās aktivitātes pasākuma ietvaros, tai skaitā norādot konkrētus tiesību aktus, to pantus un/vai punktus, no kuriem tas izriet.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pašvaldību funkcijām, no kurām izriet deleģējums veikt aktivitātes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1.rindkopā sniegto informāciju, ņemot vērā, ka pieminētie Ministru kabineta noteikumi nav spēkā esoši, tā vietā norādot, ka pasākuma īstenošanai nepieciešamais ERAF un valsts budžeta līdzfinansējums tiks pieprasīts no valsts budžeta programmas 80.00.00 “Nesadalītais finansējums Eiropas Savienības politiku instrumentu un pārējās ārvalstu finanšu palīdzības līdzfinansēto projektu un pasākumu īstenošanai”, kā arī lūdzam svītrot šī punkta 2.rindkopā sniegto informāciju, ņemot vērā izteikto komentāru, ka šāda informācija ir norādāma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korekcijas anotācijas 3.sadaļas punktā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6.punkta 4.rindkopā norādīto izdevumu sadalījumu katrā gadā papildināt arī ar finansējuma avotu sadalījumu, proti, šādi: t.sk. ERAF finansējums … euro, valsts budžeta līdzfinansējums … euro un pašvaldību budžeta līdzfinansējums …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3.sadaļas 4.rindkopā.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6.punkta 3.rindkopā skaitli un vārdu “2023.gadā” aizstāt ar skaitļiem un vārdiem šādā redakcijā “2.2.3.3. pasākuma pirmās un otrās kārtas īstenošanai”, kā arī summu 882 354 euro norādīt valsts budžeta līdzfinansējuma un pašvaldību budžeta līdzfinansējuma sadalījumā (piemēram, pārceļot informāciju no anotācijas 3.sadaļas punkta “Cita informācija” 2.rindkopas).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3.sadaļas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vispārīgajām un specifiskajām darbībām, kas veicinās personu ar invaliditāti vienlīdzīgas iespējas un tiesības,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Lūdzam skatīt piemērus kritēriju vērtēšanas metodikā, kura tika skatīta š.g. 26.oktobra apakškomitejā.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(skat. metodisko materiālu “Ieteikumi diskrimināciju un stereotipus mazinošai komunikācijai ar sabiedrību”,) https://www.lm.gov.lv/lv/ieteikumi–diskriminaciju–un–stereotipus–mazinosai–komunikacijai–ar–sabiedribu–22112022);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https://pieklustamiba.varam.gov.lv/);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tīmekļvietnē izveidota sadaļa "Viegli lasīt", kurā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8.1.9. sadaļa papildināta ar informāciju par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vispārīgajām un specifiskajām darbībām, kas veicinās dzimumu līdztiesību,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nodrošināta vienlīdzīga darba samaksa un vienlīdzīgas karjeras izaugsmes iespējas, tostarp nodrošinot dalību apmācībās, semināros, komandējumos, (t.sk. piemērota vienlīdzīgas bonusu sistēma, veselības apdrošināšana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8.1.10. sadaļa papildināta ar informāciju par horizontālā principa “Vienlīdzība, iekļaušana, nediskriminācija un pamattiesību ievērošana” ievērošanu projektā  attiecībā uz dzimumu līdztiesību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sadaļa papildināta ar informāciju par HP VINPI.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pirmās atlases kārtas īstenošanai plānotais un pieejamais kopējais attiecināmais finansējums ir vismaz 2 941 177 </w:t>
            </w:r>
            <w:r w:rsidR="00000000" w:rsidRPr="00000000" w:rsidDel="00000000">
              <w:rPr>
                <w:i w:val="1"/>
                <w:rtl w:val="0"/>
              </w:rPr>
              <w:t xml:space="preserve">euro</w:t>
            </w:r>
            <w:r w:rsidR="00000000" w:rsidRPr="00000000" w:rsidDel="00000000">
              <w:rPr>
                <w:rtl w:val="0"/>
              </w:rPr>
              <w:t xml:space="preserve">, tai skaitā Eiropas Reģionālās attīstības fonda finansējums 2 500 000</w:t>
            </w:r>
            <w:r w:rsidR="00000000" w:rsidRPr="00000000" w:rsidDel="00000000">
              <w:rPr>
                <w:i w:val="1"/>
                <w:rtl w:val="0"/>
              </w:rPr>
              <w:t xml:space="preserve"> euro</w:t>
            </w:r>
            <w:r w:rsidR="00000000" w:rsidRPr="00000000" w:rsidDel="00000000">
              <w:rPr>
                <w:rtl w:val="0"/>
              </w:rPr>
              <w:t xml:space="preserve"> un nacionālais līdzfinansējums, ko veido valsts budžeta līdzfinansējums, – vismaz 441 177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un 10. punktā svītrot vārdu "vismaz", tādējādi nodrošinot skaidru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9.punkts, vienlaikus 10.punkts netiek precizēts, jo pašvaldības var izmantot lielāku līdzfinansējuma proporciju projektā un normas jēga ir noteikt minimālo finansējuma apjomu katrai kārtai.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pirmās atlases kārtas īstenošanai plānotais un pieejamais kopējais attiecināmais finansējums ir vismaz 2 941 177 </w:t>
            </w:r>
            <w:r w:rsidR="00000000" w:rsidRPr="00000000" w:rsidDel="00000000">
              <w:rPr>
                <w:i w:val="1"/>
                <w:rtl w:val="0"/>
              </w:rPr>
              <w:t xml:space="preserve">euro</w:t>
            </w:r>
            <w:r w:rsidR="00000000" w:rsidRPr="00000000" w:rsidDel="00000000">
              <w:rPr>
                <w:rtl w:val="0"/>
              </w:rPr>
              <w:t xml:space="preserve">, tai skaitā Eiropas Reģionālās attīstības fonda finansējums 2 500 000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- 441 177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atlases kārtas ietvaros ir pašvaldība vai tās iestāde, kuru teritorijā atrodas īpaši aizsargājamā dabas teritorija, kam prioritāri izstrādājams dabas aizsardzības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17.2. apakšpunktu, lai būtu viennozīmīgi skaidrs, ka tas attiecas uz otro atlases 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- 17.2. otrās atlases kārtas ietvaros ir pašvaldība vai tās iestāde, kuru teritorijā atrodas īpaši aizsargājamā dabas teritorija, kam prioritāri izstrādājams dabas aizsardzības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17.2.apakšpunkts.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otrās atlases kārtas ietvaros ir pašvaldība vai tās iestāde, kuru teritorijā atrodas īpaši aizsargājamā dabas teritorija, kam prioritāri izstrādājams dabas aizsardzības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iesniedz vienu vai vairākus projekta iesniegumus.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punkts ir attiecināms uz abām atlases kārtām un viens projekta iesniedzējs var iesniegt vairākus projektus gan pirmajā, gan otrajā atlases kārtā.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Pirmajā un otrajā projekta atlases kārtā projekta  iesniedzējs iesniedz vienu vai vairākus projekta iesniegumus.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projekta informācijas un publicitātes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normatīvajos aktos un praksē lietoto jēdzienu "komunikācijas un vizuālās identitātes prasību nodrošināšanas pasākumi", lūdzam precizēt noteikumu projekta 23.2., 25.6. un 35.1.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komunikācijas un vizuālās identitātes prasību nodrošināšanas pasākumi, tai skaitā sabiedrību izglītojoši vai dabas izglītības pasākumi;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tiešās attiecināmās projekta vadības un īstenošanas personāla atlīdzības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"tai skaitā valsts sociālās apdrošināšanas obligātās iemaksas", ņemot vērā attiecināmības vadlīnijās (7.16.punkts) noteikto, kādas izmaksas ietilpst personāla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26.2.punktā.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tiešās attiecināmās projekta vadības un īstenošanas personāla atlīdzības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aizstāt terminus, kur attiecināms -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labojumiMK noteikumu projekta 26.2.punktā.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projektu iesniegumu pirmajā atlases kārtā 18% apmērā no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minētajām tiešajām attiecināmajām izmaksām, kas nav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saskaņoto pieeju ar Finanšu ministriju projekta vadības un īstenošanas personāla izmaksu likmes aprēķinā, lūdzam precizēt Ministru kabineta noteikumu projekta 26.2.1.punktā un anotācijā vienotās likmes apmēru uz 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27.2.1. apakšpunktā (mainīta MK noteikumu projekta punktu numerācija), kā arī anotācijas sadaļā –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27.2.1. projektu iesniegumu pirmajā atlases kārtā 17% apmērā no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tiešajām attiecināmajām izmaksām, kas nav atlīdzības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25.5.apakšpunktu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jaunradītu darba vietas aprīkojuma, tai skaitā biroja mēbeļu un tehnikas, datorprogrammu un licences iegādes vai īres izmaksas, tai skaitā aprīkojuma uzturēšanas un remonta izmaksas, ne vairāk kā 3000 euro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26.5. apakšpunkts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jaunradītu darba vietas aprīkojuma, tai skaitā biroja mēbeļu un tehnikas, datorprogrammu un licences iegādes vai īres izmaksas,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komunikācijas un vizuālās identitātes prasību nodrošināšanas pasākumi, kas veiktas saskaņā ar normatīvajiem aktiem par kārtību, kādā 2021.–2027. gada plānošanas periodā publisko informāciju par projektiem un nodrošina Atveseļošanas  fonda komunikācijas un dizaina vadlīniju prasību ieviešanu , bet nepārsniedzot vienu procentu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26.6. apakšpunktā norādīta atsauce uz nesaistošiem dokumentiem (vadlīnijām). Ņemot vērā minēto, lūdzam visā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prasību nodrošināšanas pasākumi, kas veiktas saskaņā ar normatīvajiem aktiem par kārtību, kādā 2021.–2027. gada plānošanas periodā publisko informāciju par projektiem, bet nepārsniedzot vienu procentu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27.6. apakšpunktā (mainīta MK noteikumu projekta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ar projekta darbībām tieši saistīto komunikācijas un vizuālās identitātes  prasību nosacījumu nodrošināšana, nepārsniedzot vienu procentu no projekta kopējām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ar projekta darbībām tieši saistīto publicitātes pasākumu izmaksas, kas veiktas saskaņā ar normatīvajiem aktiem par kārtību, kādā 2021.–2027. gada plānošanas periodā publisko informāciju par projektiem un nodrošina Eiropas Savienības fondu publicitātes, saziņas un vizuālās identitātes prasību ieviešanu, bet nepārsniedzot vienu procentu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25.6. apakšpunktā ietverto atsauci uz normatīvajiem aktiem, jo šādi normatīvie akti vairs nav spēkā (to vietā tiek piemēroti normatīvie akti, kas nosaka kārtību, kādā Eiropas Savienības fondu vadībā iesaistītās institūcijas nodrošina šo fondu ieviešanu 2021.–2027.gada plānošanas periodā). Vienlaikus vēršam uzmanību, ka normatīvie akti un vadlīnijas, atbilstoši kurām nodrošināmas attiecīgās prasības, jau noteiktas noteikumu projekta 35.1.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korekcijas MK noteikumu 26.6.apakšpunktā.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ar projekta darbībām tieši saistīto komunikācijas un vizuālās identitātes  prasību nosacījumu nodrošināšana, nepārsniedzot vienu procentu no projekta kopējām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izmaksas horizontālā principa "vienlīdzība, iekļaušana, nediskriminācija un pamattiesību ievērošana" darbību īstenošanai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minētās darbības īstenošanai – zīmju valodas tulku, vieglās valodas tulkošanas, reāllaika transkripcijas un subtitru nodrošināšanas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25.7.apakšpunktā lietoto atsauci. Vēršam uzmanību, ka noteikumu projekta 25.2. apakšpunkts nosaka izmaksas nevis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26.7.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MK noteikumu projekta 26.2. apakšpunkts nosaka izmaksu pozīcijas atbalstāmo darbību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izmaksas horizontālā principa "Vienlīdzība,  iekļaušana, nediskriminācija un pamattiesību ievērošana" darbību īstenošanai šo noteikumu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minētās darbības īstenošanai – zīmju valodas tulku, vieglās valodas tulkošanas, reāllaika transkripcijas un subtitru nodrošināšanas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Neparedzētie izdevumi nepārsniedz trīs procentus no projekta kopējām tiešajām attiecināmajām izmaksām. Neparedzēto izdevumu izlietošanu finansējuma saņēmējs saskaņo ar sadarbības iestādi, kā to nosaka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27.punktā vārdus “.. kā to nosaka vienošanās”, ņemot vērā, ka  vienošanās par projekta īstenošanu šo jautājumu neregulē.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Neparedzētie izdevumi nepārsniedz trīs procentus no projekta kopējām tiešajām attiecināmajām izmaksām. Neparedzēto izdevumu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noteikumu projekta 28.apakšpunktā.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Neparedzētie izdevumi nepārsniedz trīs procentus no projekta kopējām tiešajām attiecināmajām izmaksām. Neparedzēto izdevumu izlietošanu finansējuma saņēmējs saskaņo ar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pasākuma pirmās atlases kārtas ietvaros  pieņem lēmumu par projekta apstiprināšanu, apstiprināšanu ar nosacījumiem vai noraidīšanu viena mēneša laikā pēc projekta iesnieguma iesniegšanas beigu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atbilstošu pamatojumu noteikumu projekta 30. punktā noteiktā termiņa Sadarbības iestādei lēmuma pieņemšanai viena mēneša laikā. Vienlaikus aicinām papildināt noteikumu projektu ar informāciju par lēmuma pieņemšanu pasākuma otrajā atlases kārtā, atbilstoši anotācijā sniegtajai informācijai.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korekcijas MK noteikumu 32.punktā , kā arī anotācijā ir papildināta informācija par lēmuma pieņemšanas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Sadarbības iestāde pasākuma pirmās atlases kārtas ietvaros  pieņem lēmumu par projekta apstiprināšanu, apstiprināšanu ar nosacījumiem vai noraidīšanu viena mēneša laikā pēc projekta iesnieguma iesniegšanas beigu datuma. Sadarbības iestāde pasākuma otrās kārtas ietvaros pieņem lēmumu par projekta apstiprināšanu, apstiprināšanu ar nosacījumu vai noraidīšanu pieņem ne vēlāk kā triju mēnešu laikā pēc projekta iesnieguma iesniegšanas beigu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pirmās un otrās atlases kārtas ietvaros projektu īsteno saskaņā ar vienošanos par projekta īstenošanu, bet ne ilgāk kā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otrās atlases kārtas ietvaros varētu tikt noslēgta gan vienošanās, gan līgums par projekta īstenošanu, lūdzam atbilstoši precizēt noteikumu projekta 33. un 38. punktu. Vēršam uzmanību, ka no Eiropas Savienības fondu 2021.—2027. gada plānošanas perioda vadības likuma 18. panta pirmās daļas 1. un 2. punkta izriet, ka gadījumā, ja finansējuma saņēmējs ir fiziskā vai juridiskā persona, tiek slēgts līgums par projekta īstenošanu, savukārt gadījumā, ja finansējuma saņēmējs ir tiešās vai pastarpinātās pārvaldes iestāde, atvasināta publiska persona vai cita valsts iestāde, tiek slēgta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noteikumu projekta 34. punktā un 38.punktā.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pirmās un otrās atlases kārtas ietvaros projektu īsteno saskaņā ar vienošanos vai līgumu par projekta īstenošanu, bet ne ilgāk kā līdz 2027.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pirmās un otrās atlases kārtas ietvaros projektu īsteno saskaņā ar līgumu par projekta īstenošanu, bet ne ilgāk kā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 punktu, ņemot vērā, ka no Eiropas Savienības fondu 2021.—2027. gada plānošanas perioda vadības likuma 18. panta pirmās daļas 2. punkta izriet, ka gadījumā, ja finansējuma saņēmējs ir tiešās vai pastarpinātās pārvaldes iestāde, atvasināta publiska persona vai cita valsts iestāde, tiek slēgta vienošanās, nevis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pirmās un otrās atlases kārtas ietvaros projektu īsteno saskaņā ar vienošanos vai līgumu par projekta īstenošanu, bet ne ilgāk kā līdz 2027.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komunikācijas un vizuālās identitātes prasību nodrošināšanas pasākumi, kas noteikti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un saskaņā 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37.1. apakšpunktā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prasību nodrošināšanas pasākumi, kas noteikti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un saskaņā ar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noteikumu projekta 37.2. apakšpunktā (mainīta MK noteikumu projekta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nodrošina komunikācijas un vizuālās identitātes prasības, kas noteiktas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un saskaņā ar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sedz projekta izmaksu pieaugumu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35.3. punktu ar atsauci uz pasākuma otro atlases kārtu, ņemot vērā, ka pasākuma pirmās atlases kārtas finansējuma saņēmējs ir valsts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37.3.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sedz projekta izmaksu pieaugumu otrās atlases kārtas ietvaros no saviem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nodrošina, ka projektā plānotie darbi netiek finansēti vai līdzfinansēti, kā arī nav plānots tos finansēt vai līdzfinansēt no citiem valsts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35.4. apakšpunktu, ka finansējuma saņēmējs nodrošina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37.4.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nodrošina dubultā finansējuma neiestāšanos un projektā plānotie darbi netiek finansēti vai līdzfinansēti, kā arī nav plānots tos finansēt vai līdzfinansēt no citiem valsts vai ārvalstu finanšu atbalsta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 nodrošina horizontālo principu un “Vienlīdzība, iekļaušana, nediskriminācija un pamattiesību ievērošana” ievērošanu, datu uzkrāšanu un to ievadi Kohēzijas politikas fondu vienotās informācijas sistēmā projekta īstenošanas un pēcuzraudzības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projektā iekļaut horizontālā principa "Vienlīdzība, iekļaušana, nediskriminācija un pamattiesību ievērošana" rādītāju redakcijas, par kuriem finansējuma saņēmējam ir pienākums uzkrāt datus, kā tas ir noteikts HP  vadlīnijās [1]. Tādējādi MK noteikumos definētie rādītāji tiks iekļauti KP VIS projektu iesniegumu veidlapās un padarīs vieglāku uzdevumu projekta iesniedzējam HP rādītāju definēšanā.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HP VINPI piemērošanu saistītā informācija MK noteikumu projektā papildināta ar apakšpunktiem 37.8.1. un 37.8.2.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nodrošina horizontālo principu un “Vienlīdzība, iekļaušana, nediskriminācija un pamattiesību ievērošana” ievērošanu, datu uzkrāšanu un to ievadi Kohēzijas politikas fondu vadības informācijas sistēmā projekta īstenošanas laikā. Projekta īstenošanas laikā jāuzkrāj sekojošie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 nodrošina horizontālo principu un “Vienlīdzība, iekļaušana, nediskriminācija un pamattiesību ievērošana” ievērošanu, datu uzkrāšanu un to ievadi Kohēzijas politikas fondu vienotās informācijas sistēmā projekta īstenošanas un pēcuzraudzības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35.8.apakšpunktu ar konkrētu horizontālā principa “Vienlīdzība, iekļaušana, nediskriminācija un pamattiesību ievērošana” rādītāju, kas būtu attiecināms uz projektiem un par kuriem nepieciešams uzkrāt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redakcionāli precizēt sistēmas nosaukumu "Kohēzijas politikas fondu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neparedzēt datu uzkrāšanu un ievadi par horizontālo principu pēcuzraudzības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37.8.punktā minētā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nodrošina horizontālo principu un “Vienlīdzība, iekļaušana, nediskriminācija un pamattiesību ievērošana” ievērošanu, datu uzkrāšanu un to ievadi Kohēzijas politikas fondu vadības informācijas sistēmā projekta īstenošanas laikā. Projekta īstenošanas laikā jāuzkrāj sekojošie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Pasākuma pirmās atlases kārtas ietvaros pēc vienošanās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100 procentus no projektam piešķirtā Eiropas Reģionālās attīstības fonda finansējuma un valsts budžeta 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36. punktu, lai nodrošinātu atbilstību Ministru kabineta 2023. gada 25. aprīļa noteikumiem Nr. 205 "Valsts budžeta līdzekļu plānošanas kārtība Eiropas Savienības fondu projektu īstenošanai un maksājumu veikšanai 2021.–2027. gada plānošanas periodā", ņemot vērā, ka finansējuma saņēmējs ir valsts pārvaldes iestādes, tām avansa maksājumi netiek plānoti, jo tām ir iespējams saņemt priekšfinansējumu, pieprasot to no valsts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noteikumu projekta punkts Nr. 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apakšsadaļu "Risinājuma apraksts" sadaļu "Projekta iesniedzējs" ar informāciju, kas norāda, kas var tikt piesaistīt kā sadarbības partneris.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“Projekta iesniedzējs”.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rindkopu “Ņemot vērā MK noteikumu projektā noteiktos izmaksu attiecināmības nosacījumus un projektu kopējo finansējumu (paredzamais finansējums vismaz 2,94 miljoni euro), projektu vadības un īstenošanas personāla atlīdzības izmaksu nodrošināšanai pieejamais finansējums būtu vidēji 0,425 miljoni euro.”, norādot katrai kārtai plānoto finansējumu, ņemot vērā, ka šobrīd nav skaidrs, vai minētā informācija ietver abu kārtu kopējo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vai  šie divi amati (biotopu eksperts, kartogrāfs) pieder pie 39.1. saimes "Projektu vadība", tai skaitā pamatojot, vai šie amati tiešām ir uzskatāmi par projekta vadības, nevis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norādīto rindkopu "Tāpat, veicot datu izguvumu no KPVIS 2023. gada 25. oktobrī, izvērtēta līdzšinējā projektu īstenošanas pieredze pēc projektos ietvertajām atbalstāmajām darbībām līdzīgos projektos  (2014. - 2020. gada ES finanšu plānošanās periodā arī tika izstrādāti dabas aizsardzības plāni Dabas aizsardzības pārvaldes īstenotajā projektā 5.4.2.1/16/I/001 "Bioloģiskās daudzveidības saglabāšanas un ekosistēmu aizsardzības priekšnoteikumi"), kas ļauj objektīvi pamatot vienotās likmes piemērošanu, iekļaujoties Kopīgo noteikumu regulas 55.panta 1. punktā noteiktajā izmaksu procentuālajā apmērā;" , pamatojot, kā tieši šie dati izmantoti likmes aprēķinā. Aicinām izvērtēt, vai ir nepieciešams pamatoties uz projekta vēsturiskajiem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sniegtā informācija par iepriekšējā plānošanas perioda līdzīgo projektu datu izmantošanu.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rindkopu "Projekta otrajā atlases kārtā, finansējuma saņēmējs projekta darbību sekmīgai izpildei, var piesaistīt sadarbības partneri, un šajos gadījumos personāla atlīdzības izmaksu likmes apmērs tiks piemērots vienādi - gan finansējuma saņēmējam, gan sadarbības partnerim;", norādot, ka likmes apmērs tiks piemērots vienādi visam projekta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anotācijas rindkopā "2) tas ir objektīvs – vienotās likmes apmērs ir aprēķināts, ievērojot finansējuma saņēmēja sniegto informāciju par projekta vadībā un īstenošanā iesaistīto personālu, to atlīdzībai noteikto atalgojumu u.c. apsvērumus.", ņemot vērā, ka no sniegtās informācijas nav saprotams, par kuras kārtas finansējuma saņēmējiem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un norādīts, ka likmes apmērs ir aprēķināts ievērojot DAP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projektu iesniegumu atlases kārtību, ņemot vērā, ka pasākumā paredzētas divas atlases kārtas, tai skaitā, ietvert skaidrojumu, vai pirmo un otro atlases kārtu plānots izsludināt vienlaicīgi/secīgi vienu pēc otras, kā arī kā plānota otrās atlases kārtas finansējuma pārvirzīšana pirmās atlases kārtas papildu darbību nodrošināšanai (piemēram, pirmās atlases kārtas ietvaros plānoti divi uzsaukumi).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otrās atlases kārtas finansējuma pārvirzīšanu uz pasākuma pirmo atlases kārtu, gadījumā, ja viss otrajai atlases kārtai piešķirtais finansējums netiek izmantots.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nosaka nosacījumus Eiropas Savienības fondu 2021.-2027. gada plānošanas periodam, lūdzam anotācijā svītrot atsauci uz Eiropas Parlamenta un Padomes 2013. gada 17. decembra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kas nosaka nosacījumus Eiropas Savienības struktūrfondu un Kohēzijas fonda 2014.-2020. gada plānošanas periodam, un iekļaut atsauci uz Eiropas Savienības fondu 2021.-2027. gada plānošanas perioda atbilstošu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sadaļu ar informāciju, ka Dabas aizsardzības pārvalde pildīs finansējuma saņēmēja funkcijas pirmās atlases kārtas ietvaros, savukārt atsevišķas pašvaldības un to iestādes pildīs finansējuma saņēmēja funkcijas otrās atlases kārtas ietvaros, un Vides aizsardzības un reģionālās attīstības ministrija pildīs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sniegts skaidrojums, ka "...</w:t>
            </w:r>
            <w:r w:rsidR="00000000" w:rsidRPr="00000000" w:rsidDel="00000000">
              <w:rPr>
                <w:i w:val="1"/>
                <w:rtl w:val="0"/>
              </w:rPr>
              <w:t xml:space="preserve">ja pirms projekta apstiprināšanas būs radušās izmaksas, kas nav attiecināmas no ES fondu līdzekļiem, tas ir finansējuma saņēmēja risks, un izmaksas tiek segtas no finansējuma saņēmēja gada sākumā apstiprinātā budžeta ietvaros. 2.2.3.3.pasākuma pirmajā atlases kārtā DAP kā VARAM pakļautības iestādei ik gadu tiek apstiprināts budžets, līdz ar to iespējas ir rīkoties tikai pieejamā budžeta ietvaros, neveicot no tā atkāpes, kas nozīmē, ka risks pirms projekta apstiprināšanas radītām izmaksām, kas nav attiecināmas no Eiropas Savienības fondu līdzekļiem, ir neliels</w:t>
            </w:r>
            <w:r w:rsidR="00000000" w:rsidRPr="00000000" w:rsidDel="00000000">
              <w:rPr>
                <w:rtl w:val="0"/>
              </w:rPr>
              <w:t xml:space="preserve">". Ņemot vērā minēto, atkārtoti lūdzam papildināt Ministru kabineta sēdes protokollēmuma projektu ar punktu, kas nosaka finanšu plūsmas pirms projekta apstiprināšanas nodrošināšanas nosacījumus pirmās atlases 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Eiropas Reģionālās attīstības fonda līdzfinansētā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atlases kārtas projekta iesnieguma apstiprināšanai sadarbības iestādē ar projekta īstenošanu saistītās izmaksas tiks segtas Dabas aizsardzības pārvaldei kārtējā gada sākumā apstiprinātā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protokollēmums papildināts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23-TA-2391</w:t>
    </w:r>
    <w:r>
      <w:br/>
    </w:r>
    <w:r w:rsidR="00000000" w:rsidRPr="00000000" w:rsidDel="00000000">
      <w:rPr>
        <w:rtl w:val="0"/>
      </w:rPr>
      <w:t xml:space="preserve">29.02.2024. 08.33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23-TA-2391</w:t>
    </w:r>
    <w:r>
      <w:br/>
    </w:r>
    <w:r w:rsidR="00000000" w:rsidRPr="00000000" w:rsidDel="00000000">
      <w:rPr>
        <w:rtl w:val="0"/>
      </w:rPr>
      <w:t xml:space="preserve">29.02.2024. 08.33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Izziņa_23-TA-2391.docx</dc:title>
</cp:coreProperties>
</file>

<file path=docProps/custom.xml><?xml version="1.0" encoding="utf-8"?>
<Properties xmlns="http://schemas.openxmlformats.org/officeDocument/2006/custom-properties" xmlns:vt="http://schemas.openxmlformats.org/officeDocument/2006/docPropsVTypes"/>
</file>