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Atveseļošanas fonda plāna Darbības kārtību, par kuru vienojas Eiropas Komisija un Latvija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Darbības kārtība stājas spēkā tās 1. punktā noteiktajā laikā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Darbības kārtības spēkā stāšanās ir noteikta tās preambulā (darbības kārtība stājas spēkā, kad to paraksta abas puses), nevis 1.punktā. Līdz ar to lūdzam precizēt noteikumu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Darbības kārtība stājas spēkā tās preambulā noteiktajā laikā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1.3.apakšsadaļas "Pašreizējā situācija, problēmas un risinājumi" aprakstu ar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īstenošanas pārvaldībā iesaistīto nozares ministriju un institūciju rīcībām gadījumos, ja tiek identificētas nobīdes saistošo atskaites punktu un mērķu izpildē darba kārtības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iniciējamas un virzāmas atbilstošas izmaiņas Atveseļošanas fonda plānā un darba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iebildumu ņemt vērā, saskaņojot tiesību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sniedzot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darbības kārtības nosacījumu izpildi, AF plāna īstenošanā iesaistītās institūcijas savlaicīgi izvērtē riskus un rosina priekšlikumus  rīcībai FM pusgada ziņojumā vai, ja ir nepieciešama ātra rīcība AF investīciju ieguldījumu efektivizēšanā, virza atsevišķu informatīvo ziņojumu MK. Gadījumos, kad pēc minētajām rīcībām institūcijas konstatē, ka AF plānā un pielikumos noteiktos rādītājus nebūs iespējams sasniegt vai nepieciešamas izmaiņas AF plānā un tā pielikumos saistībā ar noteikto izmaksu aprēķina metodiku, kā arī jebkādas citas būtiskas izmaiņas, institūcijām jāinformē FM kā AF plāna koordinējošo iestādi par nepieciešamību gatavot grozījumus AF plānā. FM kā AF plāna koordinējošā iestāde izvērtēs rosināto grozījumu AF plānā nepieciešamības pamatojumu. Par būtiskām izmaiņām tiek uzskatītas tādas izmaiņas, kas nav iespējams bez attiecīgiem grozījumiem aktuālajā apstiprinātajā AF plānā un tā pielikumos.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priekšlikumus AF plāna un darbības kārtības grozījumiem, Finanšu ministrija izvērtēs iespējamību atskaites punktus un mērķus izpildīt līdz maksājuma pieprasījuma iesniegšanai Eiropas Komisijai. Gadījumos, kad konkrētajam maksājuma pieprasījumam piekrītošos atskaites punktus un mērķus ir iespējams izpildīt indikatīvajā maksājuma pieprasījuma laika grafikā vai līdz attiecīgā kalendārā gada beigām, Finanšu ministrija izskatīs iespējas pielāgot konkrētā maksājuma pieprasījuma iesniegšanu Eiropas Komisijai, lai nodrošinātu attiecīgo atskaites punktu un mērķu izpildi un izvairītos no AF plāna  un darbības kārtības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1.3.apakšsadaļas "Pašreizējā situācija, problēmas un risinājumi" aprakstu ar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Atveseļošanas fonda plāna īstenošanas pārvaldībā iesaistīto nozares ministriju un institūciju rīcībām gadījumos, ja tiek identificētas nobīdes saistošo atskaites punktu un mērķu izpildē darba kārtības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iniciējamas un virzāmas atbilstošas izmaiņas Atveseļošanas fonda plānā un darba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sniedzot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darbības kārtības nosacījumu izpildi, AF plāna īstenošanā iesaistītās institūcijas savlaicīgi izvērtē riskus un rosina priekšlikumus  rīcībai FM pusgada ziņojumā vai, ja ir nepieciešama ātra rīcība AF investīciju ieguldījumu efektivizēšanā, virza atsevišķu informatīvo ziņojumu MK. Gadījumos, kad pēc minētajām rīcībām institūcijas konstatē, ka AF plānā un pielikumos noteiktos rādītājus nebūs iespējams sasniegt vai nepieciešamas izmaiņas AF plānā un tā pielikumos saistībā ar noteikto izmaksu aprēķina metodiku, kā arī jebkādas citas būtiskas izmaiņas, institūcijām jāinformē FM kā AF plāna koordinējošo iestādi par nepieciešamību gatavot grozījumus AF plānā. FM kā AF plāna koordinējošā iestāde izvērtēs rosināto grozījumu AF plānā nepieciešamības pamatojumu. Par būtiskām izmaiņām tiek uzskatītas tādas izmaiņas, kas nav iespējams bez attiecīgiem grozījumiem aktuālajā apstiprinātajā AF plānā un tā pielikumos.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priekšlikumus AF plāna un darbības kārtības grozījumiem, Finanšu ministrija izvērtēs iespējamību atskaites punktus un mērķus izpildīt līdz maksājuma pieprasījuma iesniegšanai Eiropas Komisijai. Gadījumos, kad konkrētajam maksājuma pieprasījumam piekrītošos atskaites punktus un mērķus ir iespējams izpildīt indikatīvajā maksājuma pieprasījuma laika grafikā vai līdz attiecīgā kalendārā gada beigām, Finanšu ministrija izskatīs iespējas pielāgot konkrētā maksājuma pieprasījuma iesniegšanu Eiropas Komisijai, lai nodrošinātu attiecīgo atskaites punktu un mērķu izpildi un izvairītos no AF plāna  un darbības kārtības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Atveseļošanas fonda plāna darbības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likumdošanā kā alternatīvu darbības kārtībā lietotajam Latvijas atveseļošanas un noturības mehānismam un attiecīgi arī plānam esam izvēlējušies lietot vienkāršotu, ērtāk lietojamu apzīmējumu – Atveseļošanas fonds un Atveseļošanas fonda plāns. Vienlaikus ar to netiek mainīta būtība, proti, investīciju avots pēc būtības paliek Atveseļošanas un noturības mehānisms.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Atveseļošanas fonda plāna darbības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priekšlikumu.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pielikums iekļauj visus atskaites punktus un mērķus, kā arī papildu uzraudzības rādītājus (no angļu – interim steps), par kuru ieviešanas progresu būs nepieciešams ziņot pusgada ziņojumos Eiropas semestra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Atveseļošanas fonda plāna darbības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priekšlikumu.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 plāns ir apstiprināts Eiropas Savienības Padomē, tad saskaņā ar Regulas Nr. 2021/241 20. panta 6. punktu dalībvalstij ar EK ir kopīgi jāparaksta darbības kārtība, lai Latvija varētu iesniegt maksājumus un saņemt AF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Atveseļošanas fonda plāna darbības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oficiāli tiek lietots arī Eiropas pusgads. Piemērus aicinām aplūkot vismaz šādās divās ES oficiālās tīmekļa vietnēs: https://www.consilium.europa.eu/lv/policies/european-semester/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https://ec.europa.eu/info/business-economy-euro/economic-and-fiscal-policy-coordination/eu-economic-governance-monitoring-prevention-correction/european-semester_lv.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Atveseļošanas fonda plāna darbības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AF plāna darbības kārtību, sarunās ar EK tikusi apspriesta darbības kārtības publicēšanas iespēja pēc tās parakstīšanas - EK lūgs Latvijai atļauju dokumentu publicēt, par ko konceptuālas iebildes no Latvijas puses nav bijis. Piemēram, publiski šobrīd ir pieejama Spānijas AF plāna darbības kārtība, kas, EK un Spānijai vienojoties, tika publicēta. Pieejama šeit: https://ec.europa.eu/info/files/operational-arrangement-between-commission-and-spain_en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Atveseļošanas fonda plāna darbības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- 17.01.2022.)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priekšlikumu. Atbilstoši precizēts informatīvā ziņojuma mērķis: "Informatīvā ziņojuma mērķis ir informēt par Latvijas Atveseļošanas fonda (turpmāk - AF) plāna  “Darbības kārtību, par kuru vienojas Eiropas Komisija un Latvija” (turpmāk – darbības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Atveseļošanas fonda plāna darbības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nosaukumā minēto līguma nosaukumu atbilstoši noteikumu projekta 1.punktam un Eiropas Komisijas lēmumam, piemēram, "Par Atveseļošanas fonda plāna Darbības kārtību, par kuru vienojas Eiropas Komisija un Latvija".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priekšlikumu. Atbilstoši precizēts noteikumu 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Atveseļošanas fonda plāna Darbības kārtību,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Atveseļošanas fonda plāna Darbības kārtību, par kuru vienojas Eiropas Komisija un Latvija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Atveseļošanas fonda plāna Darbības kārtību,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- 21.01.2022.)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dokumentos - pilnvarā, protokollēmumā un informatīvajā ziņojumā - salāgots un lietots viens nosaukums: Atveseļošanas fonda plāna Darbības kārtība, par kuru vienojas Eiropas Komisija un 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"Atveseļošanas fonds" lietojumam nacionālajos normatīvajos aktos aicinām skatīt šīs izziņas 4. punkta skaidrojumā.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Atveseļošanas fonda plāna Darbības kārtību,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- 21.01.2022.)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šīs izziņas 8. punktā. Vēlamies atzīmēt, ka EK ir norādījusi - pašreizējā prakse ir tāda, ka valstu darbības kārtības tiek publicētas EK un attiecīgās dalībvalsts tīmekļa vietnē pēc tam, kad darbības kārtību ir parakstījusi gan EK, gan dalībvalsts.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šiem noteikumiem tiek pieņemts un apstiprināts Latvijas Atveseļošanas fonda plāna darbības kārtības projekts, par kuru vienojas Eiropas Komisija un Latvijas Republika (turpmāk – darbības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1.punktu atbilstoši Ministru kabineta 2009. gada 3. februāra noteikumi Nr. 108 "Normatīvo aktu projektu sagatavošanas noteikumi" 112.1.apakšpunktam, kā arī ierosinām precizēt apstiprināmā līguma nosaukumu atbilstoši Eiropas Komisijas lēmuma projektā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plāna Darbības kārtība, par kuru vienojas Eiropas Komisija un Latvija (turpmāk – darbības kārtība), ar šiem noteikumiem tiek pieņemta un apstiprināta.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atbalstāms. Precizēts noteikumu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Atveseļošanas fonda plāna Darbības kārtība, par kuru vienojas Eiropas Komisija un Latvija (turpmāk – darbības kārtība), ar šiem noteikumiem tiek pieņemta un apstiprināta."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Atveseļošanas fonda plāna Darbības kārtība, par kuru vienojas Eiropas Komisija un Latvija (turpmāk – darbības kārtība), ar šiem noteikumiem tiek pieņemta un apstiprināta.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šiem noteikumiem tiek pieņemts un apstiprināts Latvijas Atveseļošanas fonda plāna darbības kārtības projekts, par kuru vienojas Eiropas Komisija un Latvijas Republika (turpmāk – darbības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projekta “Pielikums Komisijas Lēmumam, ar kuru apstiprina Darbības kārtību, par kuru vienojas Eiropas Komisija un Latvija saskaņā ar Regulu (ES) 2021/241. Atveseļošanas un noturības mehānisms. Darbības kārtība, par kuru vienojas Eiropas Komisija un Latvija” 89. ailē (117. lpp) lūdzam aizstāt vārdus “Ministru kabineta noteikumi” ar vārdiem “Ministru kabineta regulējums” (kolonnās “Kvalitatīvie rādītāji” un “Pārbaudes mehānisms”), jo pasākuma “3.1.1.2.i. Pašvaldību kapacitātes stiprināšana to darbības efektivitātes un kvalitātes uzlabošanai” īstenošanai netiks izstrādāti Ministru kabineta noteikumi, bet Ministru kabineta informatīvais ziņojums. Vienlaikus norādām, ka tekstā angļu valodā lietots teksts šādā redakcijā: “</w:t>
            </w:r>
            <w:r w:rsidR="00000000" w:rsidRPr="00000000" w:rsidDel="00000000">
              <w:rPr>
                <w:i w:val="1"/>
                <w:rtl w:val="0"/>
              </w:rPr>
              <w:t xml:space="preserve">Regulation of the Cabinet of Ministers</w:t>
            </w:r>
            <w:r w:rsidR="00000000" w:rsidRPr="00000000" w:rsidDel="00000000">
              <w:rPr>
                <w:rtl w:val="0"/>
              </w:rPr>
              <w:t xml:space="preserve">”, attiecīgi iepriekš piedāvātā teksta redakcija atbilstu tekstam angļu valodā. Tāpat norādām, ka tulkotā dokumenta 89. ailē kolonnā “Katra atskaite punkta vai mērķa apraksts” attiecīgie vārdi ir tulkoti kā “Ministru kabineta regulējums”. Analogs tulkojums būtu nepieciešams arī abās iepriekš norādītajās kolonnās.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ailē (117. lpp) kolonnā “Kvalitatīvie rādītāji” teksta redakcija: “Ir pieņemts</w:t>
            </w:r>
            <w:r w:rsidR="00000000" w:rsidRPr="00000000" w:rsidDel="00000000">
              <w:rPr>
                <w:b w:val="1"/>
                <w:rtl w:val="0"/>
              </w:rPr>
              <w:t xml:space="preserve"> Ministru kabineta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ailē (117. lpp) kolonnā “Pārbaudes mehānisms” teksta redakcija: “</w:t>
            </w:r>
            <w:r w:rsidR="00000000" w:rsidRPr="00000000" w:rsidDel="00000000">
              <w:rPr>
                <w:b w:val="1"/>
                <w:rtl w:val="0"/>
              </w:rPr>
              <w:t xml:space="preserve">Ministru kabineta regulējuma</w:t>
            </w:r>
            <w:r w:rsidR="00000000" w:rsidRPr="00000000" w:rsidDel="00000000">
              <w:rPr>
                <w:rtl w:val="0"/>
              </w:rPr>
              <w:t xml:space="preserve"> kopija un saite uz publikāciju oficiālajā izdevumā, tostarp atsauce uz norādi par stāšanos spēkā, kam pievienots kopsavilkuma dokuments, kurā pienācīgi pamatots, kā tika apmierinoši sasniegts atskaites punkts, kopā ar atbilstošām saitēm uz pamatojošajiem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atstājot 3.1.1.2.i. investīcijas "Pašvaldību kapacitātes stiprināšana to darbības efektivitātes un kvalitātes uzlabošanai" atskaites punkta informācijas (darbības kārtības 89. rinda) tulkojuma pašreizējā redakcijā, netiek radīts risks, ka atskaites punkts netiks īstenots pēc būtības. Proti, lai īstenotu AF plāna investīcijas, ministrija var gatavot vai nu Ministru kabineta  (turpmāk - MK) informatīvo ziņojumu vai MK noteikumus (skat. arī norādes ES fondu mājas lapā 26.11.2021. publicētās vadlīnijas "Vadlīnijas informatīvā ziņojuma vai Ministru kabineta noteikumu izstrādei par Eiropas Savienības Atveseļošanas un noturības mehānisma plāna reformas vai investīcijas ieviešanu"). Darbības kārtības oriģinālajā tekstā attiecīgi pie minētās investīcijas atskaites punkta visur lietots “Regulations of the Cabinet of Ministers”, un tas nespecificē konkrētu MK normatīvā akta formātu.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Atveseļošanas fonda plāna Darbības kārtība, par kuru vienojas Eiropas Komisija un Latvija (turpmāk – darbības kārtība), ar šiem noteikumiem tiek pieņemta un apstiprināta.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Atveseļošanas fonda plāna darbības kārtībā, kā arī Ministru kabineta sēdes protokollēmuma 4.punktā minēto, ierosinām papildināt noteikumu projekta anotācijas 7.sadaļu ar norādi uz iestādēm, kuras iesaistītas darbības kārtības izpildes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atbalstāms. Anotācijas 7. sadaļa papildināta ar šādām AF plāna sagatavošanā un investīciju īstenošanas nodrošināšanā iesaistītajām iestādēm: Finanšu ministrija, Valsts ieņēmumu dienests, Iepirkumu uzraudzības  birojs, Finanšu izlūkošanas dienests, Iekšlietu ministrija, Tieslietu ministrija, Izglītības un zinātnes ministrija, Videas aizsardzības un reģionālās attīstības ministrija, Valsts kanceleja, Kultūras ministrija, Zemkopības ministrija, Labklājības ministrija, Ekonomikas ministrija, Satiksmes ministrija, Veselības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dokumentu paketei pievienotā informatīvā ziņojuma nepieciešamību. Ņemot vērā informatīvā ziņojuma apjomu, Tieslietu ministrijas ieskatā tajā minēto papildu informāciju iespējams iekļaut noteikumu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nepieciešamības gadījumā lūdzam svītrot arī Ministru kabineta sēdes protokollēmuma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sagatavotais informatīvais ziņojums vispārīgi raksturo AF plāna darbības kārtību un kā papildu informatīvs materiāls saglabājams kā Ministru kabineta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Pilnvarot finanšu ministru Latvijas Republikas vārdā parakstīt “Darbības kārtību,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- 21.01.2022.)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pilnvaras tulkojums angļu valodā nav nepieciešams, jo šādu prasību Eiropas Komisija nav noteikusi. Ārlietu ministrija atzinumā nav arī  sniegusi savu pamatojumu šim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w:t>
    </w:r>
    <w:r>
      <w:br/>
    </w:r>
    <w:r w:rsidR="00000000" w:rsidRPr="00000000" w:rsidDel="00000000">
      <w:rPr>
        <w:rtl w:val="0"/>
      </w:rPr>
      <w:t xml:space="preserve">26.01.2022. 13.39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w:t>
    </w:r>
    <w:r>
      <w:br/>
    </w:r>
    <w:r w:rsidR="00000000" w:rsidRPr="00000000" w:rsidDel="00000000">
      <w:rPr>
        <w:rtl w:val="0"/>
      </w:rPr>
      <w:t xml:space="preserve">26.01.2022. 13.39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Izziņa_22-TA-12.docx</dc:title>
</cp:coreProperties>
</file>

<file path=docProps/custom.xml><?xml version="1.0" encoding="utf-8"?>
<Properties xmlns="http://schemas.openxmlformats.org/officeDocument/2006/custom-properties" xmlns:vt="http://schemas.openxmlformats.org/officeDocument/2006/docPropsVTypes"/>
</file>