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587 "Valsts un Eiropas Savienības atbalsta piešķiršanas kārtība pasākumam "Atbalsts zvejniekiem piekrastes zvejā""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septembra noteikumos Nr. 587 "Valsts un Eiropas Savienības atbalsta piešķiršanas kārtība pasākumam "Atbalsts zvejniekiem piekrastes zvejā""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"Latvijas Jūras administrācja" (turpmāk - Jūras administrācija) vērš uzmanību, ka attiecībā uz piekaramajiem dzinējiem Jūras administrācijas Kuģošanas drosības inspekcija un Kuģu reģistrs nespēs izpildīt noteikumu projektā ietvertos nosacījumus. Jūras administrācijas Kuģošanas drosības inspekcija neveic piekaramo dzinēju uzskaiti pēc to numuriem. Zvejas laivas īpašniekam var būt, piemēram, pieci piekaramie dzinēji un, kuru viņš izmanto konkrētajā zvejas dienā, ir viņa paša lēmums. Jūras administrācijas Kuģošanas drošības inspekcija var pārbaudīt, vai dzinēja jauda no drošības viedokļa ir atbilstoša, savukārt Jūras administrācijas Kuģu reģistrā tiek reģistrēti zvejas laivu dzinēji, bet zvejas laivu reģistrācijas apliecībās tiek attēloti šādi parametri (par dzinēju) – dzinēja veids (piekaramais vai stacionārais) un jaudas parametri. Nevienā zvejas laivu reģistrācijas apliecībā netiek fiksēti dzinēja numuri.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kā jau iepriekš minēts, zvejniekiem var būt vairāki piekaramie dzinēji, kas tiek mainīti, veicot zveju, piemēram, ja dzinējam nepieciešams remots. Tādejādi, uzrādot reģistrācijas apliecībā kāda konkrētā dzinēja numuru, jau sākotnēji ir skaidrs, ka noteikumu projektā ietvertās tiesību normas realitatē nebūs atbilstošas, jo tiks lietoti vairāki dzinēji un to atsekojamība praktiski nebūs iespējama ne Jūras administrācijas Kuģošanas drošības inspekcijai, ne arī citām institūcijām. Jūras administrācijas Kuģu reģistra datu bāzē nav iespēju veikt dzinēju izsekojamību pēc tā numura. Minētais fakts Zemkopības ministrijai jau tika iepriekš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noteikumu projektu 24.</w:t>
            </w:r>
            <w:r w:rsidR="00000000" w:rsidRPr="00000000" w:rsidDel="00000000">
              <w:rPr>
                <w:vertAlign w:val="superscript"/>
                <w:rtl w:val="0"/>
              </w:rPr>
              <w:t xml:space="preserve">1</w:t>
            </w:r>
            <w:r w:rsidR="00000000" w:rsidRPr="00000000" w:rsidDel="00000000">
              <w:rPr>
                <w:rtl w:val="0"/>
              </w:rPr>
              <w:t xml:space="preserve">, 24.</w:t>
            </w:r>
            <w:r w:rsidR="00000000" w:rsidRPr="00000000" w:rsidDel="00000000">
              <w:rPr>
                <w:vertAlign w:val="superscript"/>
                <w:rtl w:val="0"/>
              </w:rPr>
              <w:t xml:space="preserve">2</w:t>
            </w:r>
            <w:r w:rsidR="00000000" w:rsidRPr="00000000" w:rsidDel="00000000">
              <w:rPr>
                <w:rtl w:val="0"/>
              </w:rPr>
              <w:t xml:space="preserve"> punktu, 26.1.</w:t>
            </w:r>
            <w:r w:rsidR="00000000" w:rsidRPr="00000000" w:rsidDel="00000000">
              <w:rPr>
                <w:vertAlign w:val="superscript"/>
                <w:rtl w:val="0"/>
              </w:rPr>
              <w:t xml:space="preserve">1 </w:t>
            </w:r>
            <w:r w:rsidR="00000000" w:rsidRPr="00000000" w:rsidDel="00000000">
              <w:rPr>
                <w:rtl w:val="0"/>
              </w:rPr>
              <w:t xml:space="preserve">apakšpunktu un 27. punktu, tostarp norādot, ka minētās prasības neattiecas uz piekaramajiem dzinējiem.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24.</w:t>
            </w:r>
            <w:r w:rsidR="00000000" w:rsidRPr="00000000" w:rsidDel="00000000">
              <w:rPr>
                <w:vertAlign w:val="superscript"/>
                <w:rtl w:val="0"/>
              </w:rPr>
              <w:t xml:space="preserve">1</w:t>
            </w:r>
            <w:r w:rsidR="00000000" w:rsidRPr="00000000" w:rsidDel="00000000">
              <w:rPr>
                <w:rtl w:val="0"/>
              </w:rPr>
              <w:t xml:space="preserve">, 24.</w:t>
            </w:r>
            <w:r w:rsidR="00000000" w:rsidRPr="00000000" w:rsidDel="00000000">
              <w:rPr>
                <w:vertAlign w:val="superscript"/>
                <w:rtl w:val="0"/>
              </w:rPr>
              <w:t xml:space="preserve">2</w:t>
            </w:r>
            <w:r w:rsidR="00000000" w:rsidRPr="00000000" w:rsidDel="00000000">
              <w:rPr>
                <w:rtl w:val="0"/>
              </w:rPr>
              <w:t xml:space="preserve"> punkti, 26.1.</w:t>
            </w:r>
            <w:r w:rsidR="00000000" w:rsidRPr="00000000" w:rsidDel="00000000">
              <w:rPr>
                <w:vertAlign w:val="superscript"/>
                <w:rtl w:val="0"/>
              </w:rPr>
              <w:t xml:space="preserve">1</w:t>
            </w:r>
            <w:r w:rsidR="00000000" w:rsidRPr="00000000" w:rsidDel="00000000">
              <w:rPr>
                <w:rtl w:val="0"/>
              </w:rPr>
              <w:t xml:space="preserve"> apakšpunkts un 27. punkts un anotācija atbilstoši Satiksmes ministrijas un VSIA "Latvijas Jūras administrācija"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paredzēts reģistrētā dzinēja nomaiņai. Paši piekrastes zvejnieki ir izrādījuši interesi iegādāties dzinējus, kas būtu videi draudzīgāki un darbināmi, piemēram, izmantojot saules enerģiju, kas saražota ar atbalstu uzstādītajos saules paneļos.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2007. gada 2. maija noteikumiem Nr. 296 "Noteikumi par rūpniecisko zveju teritoriālajos ūdeņos un ekonomiskās zonas ūdeņos" tiek nodrošināta arī zvejas kuģu dzinēju jaudu uzskaite arī piekaramiem dzinējiem. Šāda prasība ieviesta, lai uzskaitītu zvejas kuģu kapacitāti atbilstoši prasībām Eiropas Parlamenta un Padomes 2013. gada 11. decembra Regulā Nr.1380/2013 par kopējo zivsaimniecības politiku un ar ko groza Padomes Regulas (EK) Nr.1954/2003 un (EK) Nr. 1224/2009 un atceļ Padomes Regulas (EK) Nr. 2371/2002 un (EK) Nr. 639/2004 un Padomes Lēmumu 2004/585/EK.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5.matrā tika pieņemti MK noteikumi Nr.152 “Grozījumi Ministru kabineta 2007. gada 2. maija noteikumos Nr. 296 "Noteikumi par rūpniecisko zveju teritoriālajos ūdeņos un ekonomiskās zonas ūdeņos"”, kuros ir noteikts, ka Latvijas zvejniekiem atļauts zvejot komerciālajā zvejā piekrastē ar zvejas kuģiem bez dzinēja vai ar zvejas kuģiem ar stacionāro vai uzkaramo dzinēju, kas reģistrēts Latvijas Jūras administrācijā.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ir pienākums sekot līdz, lai zveja tiktu veikta atbilstoši normatīvajiem aktiem, tai skaitā, lai būtu atbilstoši ievērota piešķirtā zvejas kvota un dzinēja jauda konkrētai zvejas laivai. Gadījumā, ja zvejnieks izmanto vairākus dzinējus, nevar tikt nodrošināta zvejas kuģu dzinēju jaudas korekta uzskaite, jo dzinēji var atšķirties arī pēc jaudas. Līdz ar to ir skaidra nepieciešamība identificēt zvejas laivu ar konkrētu piekaramo dzinēju.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atbalsta saņēmējs valsts sabiedrības ar ierobežotu atbildību "Latvijas Jūras administrācija" Kuģošanas drošības inspekcijas amatpersonai uzrāda to piekaramo dzinēju ar indtificējamu unikālu dzinēja numuru, kas noņemts no zvejas kuģa. Valsts sabiedrība ar ierobežotu atbildību "Latvijas Jūras administrācija" piekaramo dzinēju, kas noņemts no zvejas kuģa, nepiesaista citam zvejas kuģim.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Norādītas arī darbības, kas jāveic atbalsta pretendentam, lai saņemtu atbalstu dzinēja nomaiņai. Atbalsta saņēmējam, kas īsteno regulas 2021/1139 18. pantā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-jāsaņem Zemkopības ministrijas saskaņojums par zvejas kuģa dzinēja nomaiņu saskaņā ar normatīvajiem aktiem par rūpniecisko zveju teritoriālajos ūdeņos un ekonomiskās zonas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iesniegšanas brīdī vai sešu mēnešu laikā pēc tam, kad stājies spēkā Lauku atbalsta dienesta lēmums par projekta iesnieguma apstiprināšanu, atbalsta saņēmējs saņem saskaņojums no valsts sabiedrības ar ierobežotu atbildību "Latvijas Jūras administrācija" Kuģošanas drošības inspekcijas un informē Lauku atbalsta dienestu par iegādājamā dzinēja atbilstību attiecīgā zvejas kuģa kuģošanas drošības prasībām saskaņā ar normatīvajiem aktiem par jūras zvejas kuģu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pēdējā maksājumu pieprasījuma iesniegšanas Lauku atbalsta dienestā, atbalsta saņēmējs dzinēja nomaiņu reģistrē valsts sabiedrības ar ierobežotu atbildību "Latvijas Jūras administrācija" Kuģu reģistrā saskaņā ar normatīvajiem aktiem par kuģu reģistrāciju Latvijas Kuģu reģistrā, uzrādot dzinēja verifikācijas veikšanas dokumentus un tā piekaramā dzinēja, kas tiek noņemts no zvejas kuģa identificējamu, unikālu dzinēja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noteikumu projektu tiek veiktas izmaiņas attiecībā uz to, par kādām projekta izmaksām piešķir vai nepiešķir atbalstu, ir būtiski uzsvērt, kāda finansējuma ietvaros to paredzēts nodrošināt, attiecīgi lūdzam papildināt anotācijas 3.sadaļas punktu ”Cita informācija” ar norādi, ka noteikumu projektā plānotais atbalsts tiks nodrošināts Rīcības programmas zivsaimniecības attīstībai 2021-2027 esošās 1. prioritātes "Veicināt ilgtspējīgu zvejniecību un ūdeņu bioloģisko resursu atjaunošanu un saglabāšanu" 1. konkrētā mērķa "Ekonomiski, sociāli un vides ziņā ilgtspējīgu zvejas darbību stiprināšana" atbalsta pasākuma "Atbalsts zvejniekiem piekrastes zvejā" plānotā finansējuma ietvaros, kas norādīts sākotnējo Ministru kabineta 2022. gada 20. septembra noteikumu Nr. 587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šis noteikumu projekts neskar anotācijas 3. sadaļu un finansējuma avots netiek mainīts, nav nepieciešams atkārtoti norādīt atsauci uz attiecīgo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sākotnējo noteikumu projektu (pieņemts MK sēdē 20.09.2022.), anotācijas 3. sadaļas 6. punktā jau ir iekļauta informācija ar atsauci uz EJZAF Programmas zivsaimniecības attīstībai 2021 - 2027.gadam 1. prioritātes Veicināt ilgtspējīgu zvejniecību un ūdeņu bioloģisko resursu atjaunošanu un saglabāšanu, 1.1. Konkrēto mērķi Ekonomiski, sociāli un vides ziņā ilgtspējīgu zvejas darbību stiprināšana.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norādi, ka noteikumu projektā plānotais atbalsts zvejas kuģa dzinēja maiņai tiks nodrošināts Rīcības programmas zivsaimniecības attīstībai 2021-2027 esošās 1. prioritātes "Veicināt ilgtspējīgu zvejniecību un ūdeņu bioloģisko resursu atjaunošanu un saglabāšanu" 1. konkrētā mērķa "Ekonomiski, sociāli un vides ziņā ilgtspējīgu zvejas darbību stiprināšana" atbalsta pasākuma "Atbalsts zvejniekiem piekrastes zvejā" plānotā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sākotnējo noteikumu projektu (pieņemts MK sēdē 20.09.2022.), anotācijas 3. sadaļas 6. punktā jau ir iekļauta informācija ar atsauci uz EJZAF Programmas zivsaimniecības attīstībai 2021 - 2027.gadam 1. prioritātes Veicināt ilgtspējīgu zvejniecību un ūdeņu bioloģisko resursu atjaunošanu un saglabāšanu, 1.1. Konkrēto mērķi Ekonomiski, sociāli un vides ziņā ilgtspējīgu zvejas darbību stiprināšana. Tā kā šis noteikumu projekts neskar anotācijas 3. sadaļu, nav nepieciešams atkārtoti norādīt iepriekšminēto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24-TA-2462</w:t>
    </w:r>
    <w:r>
      <w:br/>
    </w:r>
    <w:r w:rsidR="00000000" w:rsidRPr="00000000" w:rsidDel="00000000">
      <w:rPr>
        <w:rtl w:val="0"/>
      </w:rPr>
      <w:t xml:space="preserve">19.11.2024. 12.48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24-TA-2462</w:t>
    </w:r>
    <w:r>
      <w:br/>
    </w:r>
    <w:r w:rsidR="00000000" w:rsidRPr="00000000" w:rsidDel="00000000">
      <w:rPr>
        <w:rtl w:val="0"/>
      </w:rPr>
      <w:t xml:space="preserve">19.11.2024. 12.48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Izziņa_24-TA-2462.docx</dc:title>
</cp:coreProperties>
</file>

<file path=docProps/custom.xml><?xml version="1.0" encoding="utf-8"?>
<Properties xmlns="http://schemas.openxmlformats.org/officeDocument/2006/custom-properties" xmlns:vt="http://schemas.openxmlformats.org/officeDocument/2006/docPropsVTypes"/>
</file>