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(15.12.2023.)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30.09.2025. 07:29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w:t>
            </w:r>
            <w:r w:rsidR="00000000" w:rsidRPr="00000000" w:rsidDel="00000000">
              <w:rPr>
                <w:b w:val="1"/>
                <w:rtl w:val="0"/>
              </w:rPr>
              <w:t xml:space="preserve">papildināt anotāciju ar informāciju par ziņojuma</w:t>
            </w:r>
            <w:r w:rsidR="00000000" w:rsidRPr="00000000" w:rsidDel="00000000">
              <w:rPr>
                <w:rtl w:val="0"/>
              </w:rPr>
              <w:t xml:space="preserve"> "Informatīvais ziņojums par progresu agrīnās preventīvās atbalsta sistēmas bērnu attīstībai izveidē un saistīto Eiropas Savienības fondu projektu ieviešanā (projekts)" un saistītā 4.2.1.1. pasākuma "Infrastruktūras izveide starpnozaru sadarbības un atbalsta sistēmas izveidei bērnu attīstībai" </w:t>
            </w:r>
            <w:r w:rsidR="00000000" w:rsidRPr="00000000" w:rsidDel="00000000">
              <w:rPr>
                <w:b w:val="1"/>
                <w:rtl w:val="0"/>
              </w:rPr>
              <w:t xml:space="preserve">izstrādes statusu vai svītrot minēto ziņojumu no 4.3.6.7. pasākuma noteikumu grozījumu izstrādes pamatojuma, ņemot vērā, ka ziņojums nav pieejams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12. decembra sēdes protokollēmuma nr. 61. § 59. 8.punkts nosaka, ka Valsts kancelejai līdz 2024. gada 2. septembrim bija jāsagatavo un jāiesniedz izskatīšanai Ministru kabinetā informatīvai ziņojums par 4.3.6.7. pasākuma "Starpnozaru sadarbības un atbalsta sistēmas izveide bērnu veselīgai attīstībai un sekmīgai pašrealizācijai" ieviešanu, kurā </w:t>
            </w:r>
            <w:r w:rsidR="00000000" w:rsidRPr="00000000" w:rsidDel="00000000">
              <w:rPr>
                <w:b w:val="1"/>
                <w:rtl w:val="0"/>
              </w:rPr>
              <w:t xml:space="preserve">ietverti iespējamie risinājumi pakalpojumu nodošanai nozaru ministrijām pēc to saturiskās piederības un starpinstitucionālai sadarbībai, kā arī priekšlikumi par nepieciešamajiem grozījumiem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noteikumu projektu (25-TA-2275).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joprojām notiek intensīvs darbs, dažāda veida sanāksmes un dalība Saeimas komisijās, kur jautājumi par pakalpojumu nodošanau nozaru ministrijām pēc to saturiskās piederības tiek skatīti, līdz ar to informatīvā ziņojuma virzība kavējas, tiek plānots, ka informatīvais ziņojums tiks virzīts saskaņošanā līdz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Pedagoģiski medicīniskās komisijas bērnu attīstības multiprofesionālo komandu izveides pilotprojekta laikā tiks saglabātas. 2028.gada vidū tiks veikts izvērtējums un pieņemti tālākie lēmumi par bērnu attīstības multiprofesionālo komandu tīkla darbību un paplašināšanos, kā arī par pedagoģiski medicīnisko komisiju reformu.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vairākos dokumentos Veselības ministrija ir izteikusi iebildumus par pedagoģiski medicīnisko komisiju funkciju integrēšanu plānotajās multiprofesionālo speciālistu komandās, lūdzam rast iespēju organizēt kopīgu tikšanos ar Valsts kancelejas, Veselības ministrijas un Izglītības un zinātnes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Tikšanās mērķis būtu pārrunāt multiprofesionālo speciālistu komandu atbildību sadalījumu, vienlaikus skaidri definējot, ka pediatrs vai cita ārstniecības persona nepieņem lēmumu par bērnam ar attīstības grūtībām piemērotāko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vienoties par turpmākajiem soļiem, lai vienas pašvaldības ietvaros netiktu dublētas līdzīgas funkcijas bērna attīstības izvērtēšanā. Tas dotu iespēju efektīvāk un lietderīgāk izmantot jau esošos cilvēkresursus.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atbilstoši Veselības ministrijas izteiktajam priekšlikumam organizēs sanāksmi ar iesaistītajām ministrijām par bērnu attīstības multiprofesionālo speciālistu komandu darbību, atbildību sadalījumu starp multiprofesionālās komandas speciālistiem un turpmākajiem soļiem, lai netiktu dublētas līdzīgas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otrās kārtas ietvaros tiešās attiecināmās personāla izmaksas, kuras ir šo noteikumu </w:t>
            </w:r>
            <w:r w:rsidR="00000000" w:rsidRPr="00000000" w:rsidDel="00000000">
              <w:rPr>
                <w:rtl w:val="0"/>
              </w:rPr>
              <w:t xml:space="preserve">18.18. </w:t>
            </w:r>
            <w:r w:rsidR="00000000" w:rsidRPr="00000000" w:rsidDel="00000000">
              <w:rPr>
                <w:rtl w:val="0"/>
              </w:rPr>
              <w:t xml:space="preserve">apakšpunktā</w:t>
            </w:r>
            <w:r w:rsidR="00000000" w:rsidRPr="00000000" w:rsidDel="00000000">
              <w:rPr>
                <w:rtl w:val="0"/>
              </w:rPr>
              <w:t xml:space="preserve"> minētās atbalstāmās darbības attiecināmās izmaksas, plāno kā faktiskās izmaksas. Ja otrās kārtas ietvaros finansējuma saņēmēja un sadarbības partnera projekta vadības un īstenošanas personāla iesaiste projektā tiek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anotāciju, kurā šis 30% noslodzes nosacījums otrās kārtas finansējuma saņēmēja un sadarbības partnera projekta vadības un īstenošanas personālam ticis dzēsts. Vienlaikus vēršam uzmanību, ka atbilstoši vadlīnijām Nr.1.2. “Vadlīnijas attiecināmo izmaksu noteikšanai Eiropas Savienības kohēzijas politikas programmas 2021.-2027.gada plānošanas periodā” iestādes vadības un atbalsta struktūrvienību personāla izmaksas, kas iesaistās projekta realizēšanā fragmentāri ar nelielu noslodzi un nav tieši saistīti ar rādītāju/rezultātu/mērķu sasniegšanu, ir attiecināmas no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apakšpunktā svītrots otrais teikums par 30% noslodzes attiecināšanu.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otrās kārtas ietvaros tiešās attiecināmās personāla izmaksas, kuras ir šo noteikumu </w:t>
            </w:r>
            <w:r w:rsidR="00000000" w:rsidRPr="00000000" w:rsidDel="00000000">
              <w:rPr>
                <w:rtl w:val="0"/>
              </w:rPr>
              <w:t xml:space="preserve">18.18. </w:t>
            </w:r>
            <w:r w:rsidR="00000000" w:rsidRPr="00000000" w:rsidDel="00000000">
              <w:rPr>
                <w:rtl w:val="0"/>
              </w:rPr>
              <w:t xml:space="preserve">apakšpunktā</w:t>
            </w:r>
            <w:r w:rsidR="00000000" w:rsidRPr="00000000" w:rsidDel="00000000">
              <w:rPr>
                <w:rtl w:val="0"/>
              </w:rPr>
              <w:t xml:space="preserve"> minētās atbalstāmās darbības attiecināmās izmaksas, plāno kā faktiskās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projekta 25.4. apakšpunktā ir iekļauta atsauce uz nesaistošiem dokumentiem (vadlīnijām), kas neatbilst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projekta tekstā svītrot atsauci uz vadlīnijām un attiecīgo informāciju iekļaut anotācijā. Papildus norādām, ka zemāk piedāvātā redakcija par komunikācijas un vizuālās identitātes prasību piemērošanu ir saskaņota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iestrādāta piedāvāta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12.08.2025. 17:38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2024. gada 13. augusta noteikumu Nr. 543 “Metodiskās vadības institūcijas noteikumi” (turpmāk - Noteikumi Nr. 543) 7. punktā metodiskās vadības institūcijām ir noteikti konkrēti pienākumi attiecīgajā veselības aprūpes jomā. Veselības ministrija, Nacionālais veselības dienests un metodiskās vadības institūcija (turpmāk – MVI) slēdz līgumu par apmaksas kārtību metodiskās vadības nodrošināšanai attiecīgajā veselības aprūpes jomā, paredzot atbilstošu finansējumu deleģēto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MVI ģimenes medicīnas jomā uzdevumos nav definēta iesaiste multiprofesionālo komandu veidošanā, kas tieši saistīta ar pediatrijas jomu un ietvertu darbības  bērnu attīstības risku skrīninga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viens no MVI uzdevumiem ir  ģimenes ārstu kopprakšu veidošanas modeļa izstrāde, kuras komandā plānots piesaistīt arī pediatru, formulējot MVI uzdevumus nākamajam periodam, ir būtiski izvirzīt mērķus, kritērijus, kā arī atbilstošus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"Risinājuma apraksts". Šobrīd  metodiskās vadības institūcijas ģimenes medicīnas jomā uzdevumos nav definēta multiprofesionālo komandu veidošana, kas tieši saistīta ar pediatrijas jomu un ietvertu darbības  bērnu attīstības skrīninga ieviešanai.  Tomēr bērnu attīstības multiprofesionālo komandu pilotprojekta īstenošanas gaitā tiks pārskatīts tiesiskais regulējums, noteiktas deleģētās funkcijas attiecībā uz agrīna atbalsta pakalpojumu sistēmas bērnu attīstībai nostiprināšanu, formulēti  metodiskās vadības institūcijas uzdevumi nākamajam periodam, izvirzot  sasniedzamos mērķus, kritērijus, kā arī rezultatīvos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papildināt anotāciju ar skaidrojumu, kā plānoto multiprofesionālo komandu izveide ietekmēs šobrīd esošo pedagoģiski medicīnisko komisiju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"Risinājuma apraksts". Pedagoģiski medicīniskās komisijas bērnu attīstības multiprofesionālo komandu izveides pilotprojekta laikā tiks saglabātas. 2028.gada vidū tiks veikts izvērtējums un pieņemti tālākie lēmumi par bērnu attīstības multiprofesionālo komandu tīkla darbību un paplašināšanos, kā arī par pedagoģiski medicīnisko komisiju reformu.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Mātes un bērna plāna veselības uzlabošanas plāna 2025. – 2027. gadam projektā šobrīd kā rezultatīvais rādītājs ir minētas 4 komandas, primāri pilotprojektu 2026. gadā īstenojot Daugavpils novadā un secīgi 2027. gadā turpinot iniciatīvas īstenošanu pārējos trīs Latvijas novados. Nevaram piekrist tam, ka līdz 2028. gadam būtu izveidojamas 8 multiprofesionālas komandas, kas ir nesamērīgi, raugoties gan no cilvēkresursu un infrastruktūras nodrošināšanas viedokļa, gan arī vienlaikus ņemot vērā iespējamos riskus attiecībā uz Bērnu agrīnās attīstības skrīninga ieviešanas iespējām primārajā veselības aprūpē, kura veikšana ir priekšnosacījums bērnu nonākšanai multiprofesionālo komandu darbības 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pieredzi, nodrošinot agrīno intervenci bērniem ar AST, norādām, ka 9 ārstniecības iestādēs gadā ilglaicīgs atbalsts tiek nodrošināts 500 bērniem, savukārt konkrētā Valsts kancelejas projekta ietvaros ir plānots, ka viena komanda gada laikā sniegs atbalstu līdz 2200 bērniem, kas nav objektīvi sasniedzams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pastāv risks attiecībā uz cilvēkresursu piesaisti šim pakalpojumam, jo īpaši pediatriem. Lai gan valstī ir 524 pediatri un katru gadu rezidentūrā tiek uzņemti 10 - 14 pediatri, daļai ir sertifikāti arī citā specialitātē un daļa nav praktizējoši savā specialitātē. Piesaistot šim pakalpojumam speciālistus, ir  jābūt garantijai par šī pakalpojuma kvalitāti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"Risinājuma apraksts". Tā kā projekta īstenošana tiek plānota līdz 2029.gadam, tad, ņemot vērā projekta ilgumu, pieejamo finansējumu, kā arī projekta ietvaros paredzētos speciālistu tālākizglītības pasākumus līdz 2028.gadam, tiek plānots, ka atbilstoši Mātes un bērna veselības uzlabošanas plāna 2025. – 2027. gadam projektam, pirmā bērnu attīstības multiprofesionālā komanda darbu uzsāks 2026.gadā un trīs bērnu attīstības  multiprofesionās komandas 2027.gadā. Savukārt turpmākajā periodā paredzēts izveidot vēl  līdz pat četrām bērnu attīstības multiprofesionālajām komandām, lai nodrošinātu bērnu attīstības multiprofesionālās komandas sniegto pakalpojumu pieejamību visiem bērniem, kam bērnu agrīnās attīstības skrīninga rezultātā tiktu identificēti vairāki augsti riski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atspoguļota informācija par to, kā tiek plānots nodrošināt multiprofesionālo komandu darbu, tai skaitā, kas vadīs multiprofesionālo komandu.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diskusijās izceltajiem riskiem, atkārtoti vēršam uzmanību, ka pediatri kā ārstniecības personas var nodrošināt tikai ārstniecības procesa vadību, tostarp koordinēt nepieciešamo funkcionālo speciālistu iesaisti. Uzsveram, ka pediatrs var sniegt rekomendācijas, taču viņam nav kompetences pieņemt lēmumus, piemēram, par izglītības programmas koda noteikšanu  vai par konkrētu sociālo pakalpojumu apjomu. Attiecībā uz jautājumu par neonatologu un neirologu izvērtējumu, aicinām pakalpojuma izstrādes fāzē koncentrēties uz pakalpojuma saturu, kas ir jāizstrādā pediatrijas jomas speciālistiem. Vienlaikus, ņemot vērā, ka projektā tiek plānota pilotēšanas fāze, tikai praksē būs iespējams izvērtēt nepieciešamību pēc papildu speciālistu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skatījumā komandas vadība būtu jāuzņemas starpnozaru administratīvajam vadītājam, kas būtu nostiprināms jau projekta sākuma posmā, izstrādājot komandas darba metodiku. Pediatrs nevar uzņemties vadību jautājumos, kas skar izglītības un sociālās jomas. Ir kritiski nozīmīgi, lai Veselības ministrijas, Izglītības un zinātnes ministrijas un Labklājības ministrijas pārstāvji darbotos kā līdzvērtīgi starpnozaru komandas locekļi, nodrošinot atbalstu savas kompetences ietvaros. Piemēram, izglītības jomā – nodrošinot atbilstošu atbalstu izglītības iestādē, savukārt sociālajā jomā – rūpējoties par pieejamību pakalpojumiem, tostarp transporta nodrošināšanu ģimenēm ar ierobežotiem resursiem, kā tas vairākkārt fiksēts BKUS veiktajās reģionālajās vizītēs.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"Risinājuma apraksts". Projekta ietvaros ir plānota metodikas izstrāde bērnu attīstības multiprofesionālo komandu darba nodrošināšanai, kuras izstrādē Bērnu klīniskās universitātes slimnīcas vadībā līdzdarbosies starpdiciplināra veselības, izglītības un sociālo pakalpojumu jomu pārstāvošu speciālistu komanda, savukārt metodikas izstrādes procesu uzraudzīs un darba gaitā izstrādātos rezultātus apstiprinās pārstāvji no Veselības ministrijas, Izglītības un zinātnes ministrijas, Labklājības ministrijas un citām institūcijām. Ņemot vērā bērnu attīstības multiprofesionālo komandu starpdisciplināro un multiprofesionālo raksturu, lēmumi par kompetenču, pienākumu un atbildību noteikšanu katram speciālistu komandā iesaistītajam speciālistam pieņemami tikai metodikas izstrādes gaitā. Kompetenču un profesionālo jomu kopums, kuru iesaiste ir nepieciešama gan metodikas izstrādē, gan arī tālākā komandas darba nodrošināšanā ir indikatīvi definēts un to vidū, kā viens no speciālistiem, kurš būtu atbildīgs par ārstniecības procesu komandā, ir pediatrs, par bērna izglītības vajadzību izvērtēšanu un noteikšanu būtu atbildīgs izglītības jomas pārstāvis (piemēram, speciālais pedagogs, izglītības psihologs), savukārt bērnam nepieciešamo sociālo pakalpojumu un sociālās rehabilitācijas pakalpojumu nepieciešamību noteiktu - sociālās jomas pārstāvis (piemēram, komandā iesaistītais sociālais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atbalsta projekta anotācijā minēto Valsts kancelejas iniciatīvu veidot multiprofesionālu speciālistu komandas agrīna un visaptveroša atbalsta nodrošināšanai bērniem, tomēr iebilst pret projekta anotācijā izklāstītajiem risinājumiem attiecībā uz multiprofesionālo komandu izveidi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 uztur iebildumu pret multiprofesionālo komandu veidošanu ārstniecības iestāžu ietvaros. Sākotnēji projektā paredzētie sabiedrībā balstītie pakalpojumi tika plānoti ārpus ārstniecības iestādēm, tādējādi tuvinot tos sabiedrībai un nodrošinot, ka pakalpojums pēc savas būtības ir integrēts un ietver gan izglītības, gan sociālās, gan veselības jomas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“Bērnu klīniskā universitātes slimnīca” (turpmāk – BKUS) Metodiskās vadības centrs ir gatavs uzņemties iniciatīvu šī pakalpojuma satura izstrādē, ieviešanas koordinēšanā un snieguma pārraudzībā, cieši sadarbojoties ar LM un IZM partneriem. BKUS jau ir uzkrāta pozitīva pieredze agrīnās intervences komandu darbības organizēšanā autiska spektra traucējumu (turpmāk – AST) projekta ietvaros. Metodiskās vadības nodrošināšana būtu organizējama sadarbības līguma ietvaros, atrunājot izglītības un sociālās jomas pārstāvju iesaisti, tādējādi nodrošinot iespēju BKUS Metodiskās vadības centram uzraudzīt gan pakalpojuma izpildi, gan starpnozaru sadarbību. Līdzīga prakse jau pastāv sporta medicīnas jomā, nodrošinot iespēju vienoties par pakalpojuma saturu, kvalitātes uzraudzību un tā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minēto uzdevumu veikšanai BKUS nepieciešams papildu finansējums  divu  amata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"Risinājuma apraksts". Atbilstoši spēkā esošam tiesiskam regulējumam ārstniecības personas var būt nodarbinātas un veselības aprūpes pakalpojumus sniegt tikai ārstniecības iestādē, tad bērnu attīstības multiprofesionālo komandu darbs, neskatoties uz to, ka tiek balstīts starpsektorālā sadarbībā, šobrīd pilotprojekta ietvaros ir organizējams ārstniecības iestādēs. 2028.gada vidū tiks veikts izvērtējums un pieņemti tālākie lēmumi par bērnu attīstības multiprofesionālo komandu tīkla darbību, paplašināšanos, organizatorisko formu, struktūru un taml., tai skaitā izvērtējot iespējas komandas veidot arī ārpus ārstniecības iestādēm. Tiek plānots, ka bērnu attīstības multiprofesionālo komandu darba telpas tiks nošķirtas no vispārējās ārstniecības pacientu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BKUS ir sadarbības partneris, līdz ar to tiek plānots, ka projekta darbību īstenošanas uzraudzībā un metodiskās vadības nodrošināšanai darbosies projekta Vadības grupa, kurā tiks iesaistīta Izglītības un zinātnes ministrija, Veselības ministrija, Labklājības ministrija, Latvijas Pašvaldības savienība, Metodiskās vadības centrs un nevalstiskās organizācijas, tādējādi nodrošinot uzraudzību gan pakalpojuma izpildei, gan starpnozaru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bērnu attīstības multiprofesionālo komandu izveide tiek īstenota ESF+ projekta ietvaros, kā arī BKUS ir projekta sadarbības partneris, finansējums nepieciešamajām darba vietām un speciālistu piesaistei tiks nodrošināts no projekta līdzekļiem. Sadarbības līgums ar BKUS var tikt noslēgts, kolīdz MK būs apstiprināti grozījumi MKN Nr. 749".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4.3.6.7. pasākumā ierosinātajām, izmaiņām, kas izriet no minētā ziņojuma "Informatīvais ziņojums par progresu agrīnās preventīvās atbalsta sistēmas bērnu attīstībai izveidē un saistīto Eiropas Savienības fondu projektu ieviešanā (projekts)" (turpmāk - ziņojums), ņemot vērā, ka ziņojums ir minēts kā viens no iemesliem 4.3.6.7. pasākuma noteikumu grozījumu izstrādei (anotācijas sadaļa 1.1.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minētā ziņojuma un saistītā 4.2.1.1. pasākuma "Infrastruktūras izveide starpnozaru sadarbības un atbalsta sistēmas izveidei bērnu attīstībai" izstrādes statusu, ņemot vērā, ka Ministru kabineta 2023. gada 12. decembra sēdes protokollēmuma nr. 61. § 59. 8.punkts nosaka, ka Valsts kancelejai līdz 2024. gada 2. septembrim bija jāsagatavo un jāiesniedz izskatīšanai Ministru kabinetā informatīvo ziņojumu par 4.3.6.7. pasākuma "Starpnozaru sadarbības un atbalsta sistēmas izveide bērnu veselīgai attīstībai un sekmīgai pašrealizācijai" ieviešanu, kurā ietverti iespējamie risinājumi pakalpojumu nodošanai nozaru ministrijām pēc to saturiskās piederības un starpinstitucionālai sadarbībai, kā arī priekšlikumi par nepieciešamajiem grozījumiem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4.3.6.7.pasākuma otrās kārtas projekta viena no darbībām "Multifunkcionālo komandu izveide un to darbības īstenošana" tiks īstenota sinerģijā ar 4.2.1.1.pasākumu "Infrastruktūras izveide starpnozaru sadarbības un atbalsta sistēmas izveidei bērnu attīstībai", kur 4.3.6.7.pasākuma ietvaros tiks finansēta bērna attīstības multifunkcionālo komandu darbības nodrošināšana, savukārt 4.2.1.1. pasākuma ietvaros šīm komandām tiks nodrošināta darba vide, lai pakalpojums bērniem tiktu nodrošināts.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 ar informāciju par grozījumiem projektā, taču atkārtoti lūdzam papildināt anotācijas 1.3.apakšsadaļu arī ar informāciju, vai būs nepieciešams veikt grozījumus </w:t>
            </w:r>
            <w:r w:rsidR="00000000" w:rsidRPr="00000000" w:rsidDel="00000000">
              <w:rPr>
                <w:u w:val="single"/>
                <w:rtl w:val="0"/>
              </w:rPr>
              <w:t xml:space="preserve">vienošanās par projekta īstenošanu</w:t>
            </w:r>
            <w:r w:rsidR="00000000" w:rsidRPr="00000000" w:rsidDel="00000000">
              <w:rPr>
                <w:rtl w:val="0"/>
              </w:rPr>
              <w:t xml:space="preserve">, lai būtu pārliecība, ka grozījumu ietekmes izvērtējums ir veikts, un ir nodrošināta informācijas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apakšsadaļa papildināta. Vienošanās par projekta īstenošanu grozījumi tiks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punkta apakšsadaļā "Intervences kodi" pasākuma pirmai kārtai plānoto 148 koda finansējumu no 4 679 163 euro uz 4 679 164 euro, atbilstoši Programmas papildinājumā norādītajam, kas ir pieejams Eiropas Savienības fondu mājas lapā šeit: https://www.esfondi.lv/profesionaliem/planosana/planotas-atlases-2.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punkta sadaļas "Problēmas apraksts" apakšsadaļā "Attiecināmais finansējums" pasākuma samazināmā finansējuma summas no "pirmajai kārtai par 460 337 EUR (ESF+ un VB), otrajai kārtai – 395 531 EUR (ESF+ un VB)" uz "pirmajai kārtai par 460 336 EUR (ESF+ un VB), otrajai kārtai – 395 532 EUR (ESF+ un VB)", atbilstoši veiktajām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40 939 310 </w:t>
            </w:r>
            <w:r w:rsidR="00000000" w:rsidRPr="00000000" w:rsidDel="00000000">
              <w:rPr>
                <w:i w:val="1"/>
                <w:rtl w:val="0"/>
              </w:rPr>
              <w:t xml:space="preserve">euro</w:t>
            </w:r>
            <w:r w:rsidR="00000000" w:rsidRPr="00000000" w:rsidDel="00000000">
              <w:rPr>
                <w:rtl w:val="0"/>
              </w:rPr>
              <w:t xml:space="preserve"> (no tā elastības finansējums 5 738 372 </w:t>
            </w:r>
            <w:r w:rsidR="00000000" w:rsidRPr="00000000" w:rsidDel="00000000">
              <w:rPr>
                <w:i w:val="1"/>
                <w:rtl w:val="0"/>
              </w:rPr>
              <w:t xml:space="preserve">euro</w:t>
            </w:r>
            <w:r w:rsidR="00000000" w:rsidRPr="00000000" w:rsidDel="00000000">
              <w:rPr>
                <w:rtl w:val="0"/>
              </w:rPr>
              <w:t xml:space="preserve">), tai skaitā Eiropas Sociālā fonda Plus finansējums 34 798 413 </w:t>
            </w:r>
            <w:r w:rsidR="00000000" w:rsidRPr="00000000" w:rsidDel="00000000">
              <w:rPr>
                <w:i w:val="1"/>
                <w:rtl w:val="0"/>
              </w:rPr>
              <w:t xml:space="preserve">euro</w:t>
            </w:r>
            <w:r w:rsidR="00000000" w:rsidRPr="00000000" w:rsidDel="00000000">
              <w:rPr>
                <w:rtl w:val="0"/>
              </w:rPr>
              <w:t xml:space="preserve"> (no tā elastības finansējums 4 877 616 </w:t>
            </w:r>
            <w:r w:rsidR="00000000" w:rsidRPr="00000000" w:rsidDel="00000000">
              <w:rPr>
                <w:i w:val="1"/>
                <w:rtl w:val="0"/>
              </w:rPr>
              <w:t xml:space="preserve">euro</w:t>
            </w:r>
            <w:r w:rsidR="00000000" w:rsidRPr="00000000" w:rsidDel="00000000">
              <w:rPr>
                <w:rtl w:val="0"/>
              </w:rPr>
              <w:t xml:space="preserve">) un valsts budžeta līdzfinansējums 6 140 897 </w:t>
            </w:r>
            <w:r w:rsidR="00000000" w:rsidRPr="00000000" w:rsidDel="00000000">
              <w:rPr>
                <w:i w:val="1"/>
                <w:rtl w:val="0"/>
              </w:rPr>
              <w:t xml:space="preserve">euro</w:t>
            </w:r>
            <w:r w:rsidR="00000000" w:rsidRPr="00000000" w:rsidDel="00000000">
              <w:rPr>
                <w:rtl w:val="0"/>
              </w:rPr>
              <w:t xml:space="preserve"> (no tā elastības finansējums 860 755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punktā kopējo elastības finansējumu no 5 738 372 euro uz 5 738 371 euro, ņemot vērā pasākuma kārtās plānotā elastības finansējuma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1.3. apakšpunkta "Pašreizējā situācija, problēmas un risinājumi" sadaļas "Risinājuma apraksts" apakšsadaļā "Attiecināmais finansējums" norādīto kopējo elastības finansējumu no 5 738 372 euro uz 5 738 371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40 939 310 </w:t>
            </w:r>
            <w:r w:rsidR="00000000" w:rsidRPr="00000000" w:rsidDel="00000000">
              <w:rPr>
                <w:i w:val="1"/>
                <w:rtl w:val="0"/>
              </w:rPr>
              <w:t xml:space="preserve">euro</w:t>
            </w:r>
            <w:r w:rsidR="00000000" w:rsidRPr="00000000" w:rsidDel="00000000">
              <w:rPr>
                <w:rtl w:val="0"/>
              </w:rPr>
              <w:t xml:space="preserve"> (no tā elastības finansējums 5 738 371 </w:t>
            </w:r>
            <w:r w:rsidR="00000000" w:rsidRPr="00000000" w:rsidDel="00000000">
              <w:rPr>
                <w:i w:val="1"/>
                <w:rtl w:val="0"/>
              </w:rPr>
              <w:t xml:space="preserve">euro</w:t>
            </w:r>
            <w:r w:rsidR="00000000" w:rsidRPr="00000000" w:rsidDel="00000000">
              <w:rPr>
                <w:rtl w:val="0"/>
              </w:rPr>
              <w:t xml:space="preserve">), tai skaitā Eiropas Sociālā fonda Plus finansējums 34 798 413 </w:t>
            </w:r>
            <w:r w:rsidR="00000000" w:rsidRPr="00000000" w:rsidDel="00000000">
              <w:rPr>
                <w:i w:val="1"/>
                <w:rtl w:val="0"/>
              </w:rPr>
              <w:t xml:space="preserve">euro</w:t>
            </w:r>
            <w:r w:rsidR="00000000" w:rsidRPr="00000000" w:rsidDel="00000000">
              <w:rPr>
                <w:rtl w:val="0"/>
              </w:rPr>
              <w:t xml:space="preserve"> (no tā elastības finansējums 4 877 616 </w:t>
            </w:r>
            <w:r w:rsidR="00000000" w:rsidRPr="00000000" w:rsidDel="00000000">
              <w:rPr>
                <w:i w:val="1"/>
                <w:rtl w:val="0"/>
              </w:rPr>
              <w:t xml:space="preserve">euro</w:t>
            </w:r>
            <w:r w:rsidR="00000000" w:rsidRPr="00000000" w:rsidDel="00000000">
              <w:rPr>
                <w:rtl w:val="0"/>
              </w:rPr>
              <w:t xml:space="preserve">) un valsts budžeta līdzfinansējums 6 140 897 </w:t>
            </w:r>
            <w:r w:rsidR="00000000" w:rsidRPr="00000000" w:rsidDel="00000000">
              <w:rPr>
                <w:i w:val="1"/>
                <w:rtl w:val="0"/>
              </w:rPr>
              <w:t xml:space="preserve">euro</w:t>
            </w:r>
            <w:r w:rsidR="00000000" w:rsidRPr="00000000" w:rsidDel="00000000">
              <w:rPr>
                <w:rtl w:val="0"/>
              </w:rPr>
              <w:t xml:space="preserve"> (no tā elastības finansējums 860 755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25.4. apakšpunktā norādīta atsauce uz nesaistošiem dokumentiem (vadlīnijām). Ņemot vērā minēto, lūdzam noteikumu projektā svītrot atsauci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punkta redkcija tika precizēta atbilstoši FM kā Vadošās iestādes iesniegtajam priekšlikumam (skat. izziņas 30.punktu).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26.06.2025. 07:07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saskata būtisku izaicinājumu saistībā ar projekta īstenošanai paredzēto resursu nodrošinājumu. Noteikumu projektā ir minēta BKUS MVC loma metodikas izstrādē, ieviešanā un koordinēšanā, bet nav skaidri definēts finansējuma apmērs un avots minēto darbību veikšanai. Vēršam uzmanību, ka BKUS MVC darbojas atbilstoši Veselības ministrijas deleģētajiem uzdevumiem. Iepazīstoties ar noteikuma projekta anotācijā minēto informāciju, secināms, ka BKUS MVC tiek plānoti papildu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konkrētā projekta plašo mērogu un iespējamo stratēģisko ietekmi uz esošo veselības aprūpes sistēmu, kā arī to, ka BKUS MVC tiek minēts kā sadarbības partneris, Veselības ministrijas skatījumā ir būtiski iezīmēt un nodrošināt papildu finansējumu konkrēti metodiskās koordinācijas, apmācību, kvalitātes kontroles un ieviešanas uzraudzības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sākotnējai iecerei projektā paredzētie sabiedrībā balstītie pakalpojumi bija plānoti ārpus ārstniecības iestādēm, ar mērķi tos tuvināt sabiedrībai, vienlaikus mazinot stigmu un veicinot pakalpojumu pieejamību. Ņemot vērā noteikumu projekta anotācijā minēto, plānotais risinājums paredz pakalpojumu attīstību tikai pašvaldību vai valsts ārstniecības iestāžu telpās. Šāds risinājums var veicināt stigmu un neatbilst integrēta pakalpojuma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plānotajiem TA grozījumiem, kā arī plānotajām projekta aktivitātēm, tiks noslēgts sadarbības līgums ar BKUS par BKUS MVC iesaisti 4.3.6.7.pasākuma projektu īstenošanā, novirzot tam daļu no 4.3.6.7. pasākuma finansējuma. Vienošanās par konkrētu finansējuma apmēru un veicamajiem uzdevumiem gan metodikas izstrādē, gan arī turpmākajā metodiskaājā koordinācijā nosakāma sadarbības līgumā pēc tam, kad BKUS būs sniedzis aprēķinus par resursiem (finanšu un cilvēkresursiem), kas nepieciešami 4.3.6.7.pasākuma ietvaros paredzēto uzdevumu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pakalpojumu sniegšanas vietu vēršam uzmanību, ka 4.3.6.7.pasākuma ietvaros paredzēti dažādi apakšprojekti, tai skaitā vairāku agrīno intervenču bērniem ar attīstības riskiem vai traucējumiem izstrāde, pilotēšana un ieviešana. Daļa no šīm agrīnajām intervencēm tiek organizēti kā sabiedrībā balstīti pakalpojumi, kas tiek īstenoti izglītības vidē, taču vienlaikus vairāki no 4.3.6.7.pasākumā plānotajiem apakšprojektiem ir organizējami sadarbībā ar veselības sektoru, tai skaitā stiprinot primārās veselības aprūpes iesaisti slimību profilaksē un agrīnā traucējumu atpazīšanā, kā arī pilotējot sociālās pediatrijas - bērnu attīstības muliprofesionālo komandu pieeju darbā ar bērniem, kuriem konstatējami augsti riski attīstībā un kuru vajadzību risināšanā ir iesaistāma starpsektorāla un multiprofesionāla speciālistu komanda. Attiecīgi precizēta anotācija, norādot, ka šiem pakalpojumiem pēc iespējas ir jābūt nodalītiem no ārstniecības iestādes pamata uzdevumiem un klientu plūsmas, taču noteikti nepiekrītam viedoklim, ka sociālās pediatrijas - bērnu attīstības multiprofesionālo komandu pakalpojuma izvietošana pašvaldību vai valsts ārstniecības iestāžu telpās veicinās stigmu un ir pretrunā ar integrētu pakalpojumu būtību. Integrēti pakalpojumi var tikt un tiek attīstīti visdažādākajās vidēs, tai skaitā arī ārstniecības iestādēs, Lai komandas darba rezultāts - bērna padziļinātās novērtēšanas rezultāti un izveidotais integrētais individuālais atbalsta pasākumu plāns būtu saistošs citiem veselības aprūpes pakalpojumu sniedzējiem, tam ir jābūt izstrādātam ārstniecības iestādē. Vienlaikus vēršam uzmanību, ka Sociālās pediatrijas - bērnu attīstības multiprofesionālo komandu pakalpojuma izveidei tiks piesaistīts papildus finansējums 4.2.1.1.pasākuma ietvaros infrastruktūras attīstībai pakalpojuma nodrošināšanai,  līdz ar to viens no būtiskiem nosacījumiem atbalsta saņemšanai ir gan ekonomiskais, gan arī ilgstpējas izvērtējums investīcijām publiskajā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apraksts "Problēmas un risinājumi" sadaļā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ne tikai jaunu projekta darbību iekļaušanu un jaunu partneru piesaisti, bet  arī sasniedzamo rādītāju - pakalpojumus saņēmušo bērnu kumulatīvais skaits, kuriem ir attīstības grūtības, attīstības nepietiekamība vai tās veidošanās riski un kuriem veicināta pozitīva attīstība un pašrealizācija - būtisku samazinājumu ( 55% samazinājums MKN grozījumu konsolidētās versijas 5.1.1.1.p.  vai 47 % MKN konsolidētās versijas 5.1.2.1. un 6.1.p.), lūdzam papildināt anotāciju ar skaidrojumu un izvērtējumu par MKN grozījumu ietekmi uz bērna labākajām interesēm.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rosinātās izmaiņas metodoloģijā, nosakot, ka rādītājs sevī ietver tikai unikālo bērnu skaitu, bet iepriekš dalības reizes pasākuma aktivitātēs tika uzskaitītas kopumā neatkarīgi no tā, vai viens un tas pats bērns piedalās vairākās darbībās, kā arī papildus tika ņemts vērā izmaksu būtiskais pieaugumu (atbilstoši inflācijas kalkulatoram) salīdzinājumā ar intervenču plānošanas periodu, līdz ar to bija nepieciešams samazināt rādītāja skaitlisko vērtību. Pēc būtības metodoloģijas izmaiņas atbalstīto bērnu skaitu neietekmē, jo atbalsta reižu skaits nemainās, bet mainās uzskaite - tiek uzskaitīti unikālie bērni. Atbalsta reižu skaits tika samazināts, izmaksu pieauguma dēļ, jo nevarēja nodrošināt solīto rādītāja izpildi sākotnēji plānotajā apmērā, samazinājums sastāda vidēji 30% no sākotnēji plānotā. Pamatojoties uz šīm izmaiņām, tika rosināti grozījumi Darbības programmā, kurus EK ir apstiprinājusi 23.01.2025.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plašāku informāciju par norādīto informatīvā ziņojuma projektu par progresu agrīnās preventīvās atbalsta sistēmas bērnu attīstībai izveidē un saistīto Eiropas Savienības fondu projektu ieviešanā (turpmāk - ziņojums), t.i. kādas 4.3.6.7. pasākuma īstenošanā veiktās izmaiņas izriet no minētā ziņojuma, kā arī kad ziņojums tiks iesniegts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ir nepieciešams veikt izmaiņas pasākuma regulējumā balstoties uz vēl nesaskaņotu (nav iesniegts TAP portālā)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informāciju ka Informatīvais ziņojums par progresu agrīnās preventīvās atbalsta sistēmas bērnu attīstībai izveidē un saistīto Eiropas Savienības fondu projektu ieviešanā ir izstrādāts un neformāli saskaņots ar iesaistītajiem partneriem, vienlaikus informējam, ka Informatīvajā ziņojumā iekļautie risinājumi ir balstīti uz Eiropas Savienības kohēzijas politikas programmā 2021.–2027. gadam izvirzītajiem mērķiem un noteiktajiem rādītājiem, līdz ar to- – ir būtiski virzīt TA grozījumus, lai nodrošinātu sekmīgu projektu ieviešanu noteiktajā termiņā.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tiek nodrošināta dubultā finansējuma riska novēršana un precīza demarkācija starp pasākuma pirmo un otro kārtu, ņemot vērā abu kārtu identisko darbību saturu (izņemot vienu darbību, kas saistīta ar multiprofesionālo speciālistu komandu darba nodrošināšanu, kas paredzēta tikai 2.kārtas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sadaļa "Darbību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veiktās izmaiņas 4.3.6.7. pasākuma finansējumā, lūdzam papildināt anotāciju ar informāciju par 4.3.6.7. pasākuma kārtu finansējuma sadalījumu pa intervences kategorijām (Intervences laukums, Finansējuma veids, Teritoriālie sasniegšanas mehānismi, ESF+ sekundārās tēmas un Dzimumu līdztiesība), norādot intervences kodus un tam piemērojamo fondu finansējuma apjomu, atbilstoši Eiropas Savienības kohēzijas politikas programmā 2021.–2027. gadam un tā papildinājumā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"Risinājuma apraksta"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izsekojamību, lūdzam papildināt anotāciju ar informāciju, ka 4.3.6.7. pasākuma elastības finansējuma samazinājuma Eiropas Sociālā fonda Plus finansējuma daļa tiek pārdalīta Eiropas Sociālā fonda Plus programmai materiālās nenodrošinātības mazināšanai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"Pašreizējā situācija, problēmas un risinājumi"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 "Pašreizējā situācija, problēmas un risinājumi" punkta "Pašreizējā situācija" apakšpunktā "Rādītāji" norādīto informāciju par EECO18 rādītāja "Nacionāla, reģionāla vai vietēja mēroga valsts administrācijas vai sabiedrisko pakalpojumu iestāžu un pakalpojumu skaits, kas saņēmuši atbalstu" vērtības grozījumiem (no 836 uz 538), kuri tika ierosināti Eiropas Savienības kohēzijas politikas programmas 2021.–2027. gadam (turpmāk - Programma) grozījumos Nr.3, nevis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Vienalikus lūdzam anotācijā Eiropas Savienības kohēzijas politikas programmai 2021.–2027. gadam norādīt saīsinājumu "Programma" pirmajā tā lietošanas reizē un tālāk lietos to saīsinājuma "Darbības programma" vietā, ņemot vērā, ka Eiropas Savienības kohēzijas 2021.–2027. gada periodā vairs netiek izmantots termins "Darbības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vai būs nepieciešams veikt grozījumus vienošanās par projekta īstenošanu. Ja ierosinātajiem grozījumiem nav ietekmes uz noslēgto vienošanos par projekta īstenošanu, lūdzam ar šādu informāciju papildināt anotāciju, lai būtu pārliecība, ka grozījumu ietekmes izvērtējums ir veikts, un ir nodrošinātas informācijas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"Risinājuma apraksts", "Rādītāji" - šobrīd iznākuma rādītāju uzskaite atšķiras no spēkā esošo MK noteikumu anotācijā norādītās. Attiecīgi ar šiem grozījumiem lūdzam aktualizēt iznākuma rādītāju atbilstošo darbību uzskaiti saskaņā ar faktisko situāciju un pamatojoties uz līdz šim sanāksmēs un sarakstēs panākto vienošanos ar Valsts kanceleju kā atbildīgo iestādi un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grozījumu anotācijā šādas informācijas iekļaušana radītu administratīvo slogu, jo situācija projektā varētu mainīties, kas radītu situāciju par informācijas nesakritību un grozījumu atkārtotu  nepieciešamību. VK aicinātu arī turpmāk rādītāju uzskaiti sadalījumā pa veidiem un darbībām, kas nepieciešama uzraudzības procesā, vienoties atsevišķi, piemēram,  sarakstes formā, kā jau to esam darījuši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"Problēmas un risinājumi", "Attiecināmās izmaksas" - viennozīmīgai izpratnei lūdzam ar piemēriem uzskaitīt, ko sevī ietvers grozījumu projekta 21.17. apakšpunktā minētās materiāli tehniskā aprīkojuma iegādes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materiāli tehniskā aprīkojuma detalizētāku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"Pašreizējā situācija", "Darbību apraksts" - lūgums norādīto darbību salāgot ar MK grozījumu projekta 18.13.apakšpunktā minēto darbību nosaukumu, ietverot arī “padziļinātu attīstības risku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darbība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"Pašreizējā situācija", "Rādītāji" - lūdzam skaidrot, vai no grozījumu redakcijas pareizi saprotam - unikālo dalībnieku uzskaite tiks veikta projekta līmenī, nevis katras atsevišķas darbības līmenī, kā tas faktiski šobrīd tiek uzskaitīts?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viens un tas pats unikālais dalībnieks, kurš piedalās vairākās projekta darbībās, tiek uzskaitīts vairākas reizes darbību līmenī, savukārt projekta kopējā iznākuma rādītājā – tikai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grozījumiem MK noteikumos Nr. 749 tiek paredzēts paplašināt sadarbības partneru loku – ar ārstniecības iestādēm un valsts zinātniskām institūcijām, lūdzam papildināt noteikumu projekta anotāciju ar šo subjektu izvērtējumu atbilstoši Komercdarbības atbalsta kontroles likuma 5. pantam šī pasākuma kontekstā, līdzīgi kā veikts izvērtējums sākotnējā MK noteikumu Nr. 749 anotācijā attiecībā uz citiem projekta īstenošanā iesaistītajiem subjektiem, un ar gala secinājumu, kāpēc publisko līdzekļu piešķiršana ārstniecības iestādēm un valsts zinātniskām institūcijām projekta ietvaros nav uzskatāma par atbalstu to saimnieciskai darbībai un nekvalificējas kā komercdarbības atbalsts. Skaidrojam, ka gadījumā, ja atbalsts tiek sniegts, piemēram, valsts deleģētas funkcijas veikšanai, tas atbilstoši </w:t>
            </w:r>
            <w:r w:rsidR="00000000" w:rsidRPr="00000000" w:rsidDel="00000000">
              <w:rPr>
                <w:i w:val="1"/>
                <w:rtl w:val="0"/>
              </w:rPr>
              <w:t xml:space="preserve">Komisijas paziņojuma par Līguma par Eiropas Savienības darbību 107. panta 1. punktā minēto valsts atbalsta jēdzienu</w:t>
            </w:r>
            <w:r w:rsidR="00000000" w:rsidRPr="00000000" w:rsidDel="00000000">
              <w:rPr>
                <w:rtl w:val="0"/>
              </w:rPr>
              <w:t xml:space="preserve"> (C/2016/2946) 17. punktā noteiktajam, nav uzskatāms par atbalstu saimnieciskai darbībai. Lūdzam izvērtēt, vai attiecīgo sadarbības partneru iesaiste multiprofesionālo speciālistu komandu izveidei un darba organizēšanai notiek valsts deleģētās funkcijas ietvaros (kuras). Ja gadījumā tiek secināts, ka ārstniecības iestādes un valsts zinātniskās institūcijas tiek iesaistīti to īstenotās saimnieciskās darbības kontekstā, lūdzam veikt izvērtējumu atbilstoši Komercdarbības atbalsta kontroles likuma 5. pantā noteiktajām komercdarbības atbalstu raksturojošām pazīmēm; gadījumā, ja vienlaikus izpildās visas komercdarbības atbalstu raksturojošās pazīmes, aicinām papildināt noteikumu projektu ar piemērojamā komercdarbības atbalsta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anotācijā skaidrot attiecībā uz piesaistītajiem sadarbības partneriem LU un RSU – kura no komercdarbības atbalstu raksturojošām pazīmēm tiek izslēgta, un attiecībā uz BKUS, kura balstoties uz Ministru kabineta 2024. gada 13. augusta noteikumiem Nr. 543 "Metodiskās vadības institūcijas noteikumi", ir noteikta kā metodiskās vadības centrs bērnu veselības aprūpes un bērnu psihiskās veselības aprūpes jomās, lūdzam skaidrot, kāpēc šis statuss pēc būtības nozīmē valsts funkcijas īstenošanu vai, ja tas nozīmē saimnieciskās darbības īstenošanu, tad skaidrot, kura no valsts atbalsta pazīmēm neizpildās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augstākminētajiem sadarbības partneriem (ārstniecības iestādēm un valsts zinātniskām institūcijām) tiks segti radušies izdevumi saistībā ar novirzītajām cilvēkresursu slodzēm. Plānotais atlīdzības izmaksu apmērs nepārsniegs tirgus vērtību kā atbilstošiem jomas speciālistiem, līdz ar to tiek izslēgta komercdarbības atbalsta 2.pazīme (ekonomiskā priekšrocība), kas minēta Komercdarbības atbalsta kontroles likuma 5.panta 2.punktā, kā rezultātā 4.3.6.7. pasākuma finansējums saistībā ar sadarbības partneriem nav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kancelejai informēt Ministru kabinetu par tālāku rīcību 4.3.6.7. pasākuma "Starpnozaru sadarbības un atbalsta sistēmas izveide bērnu veselīgai attīstībai un sekmīgai pašrealizācijai" īstenošanā, ja Eiropas Komisija neatbalsta Eiropas Savienības kohēzijas politikas programmas 2021.–2027. gadam grozījumu priekšlikumu par šī pasākuma finansējuma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punktu ar norādi par rādītāju samazināšanu, ņemot vērā ierosinātos Programmas grozījumus attiecībā uz 4.3.6. SAM finansējuma un rādītāju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informēt Ministru kabinetu par tālāku rīcību 4.3.6.7. pasākuma "Starpnozaru sadarbības un atbalsta sistēmas izveide bērnu veselīgai attīstībai un sekmīgai pašrealizācijai" īstenošanā, ja Eiropas Komisija neatbalsta Eiropas Savienības kohēzijas politikas programmas 2021.–2027. gadam grozījumu priekšlikumu par šī pasākuma finansējuma </w:t>
            </w:r>
            <w:r w:rsidR="00000000" w:rsidRPr="00000000" w:rsidDel="00000000">
              <w:rPr>
                <w:b w:val="1"/>
                <w:rtl w:val="0"/>
              </w:rPr>
              <w:t xml:space="preserve">un rādītāju</w:t>
            </w:r>
            <w:r w:rsidR="00000000" w:rsidRPr="00000000" w:rsidDel="00000000">
              <w:rPr>
                <w:rtl w:val="0"/>
              </w:rPr>
              <w:t xml:space="preserve"> samazināšanu.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protokollēmums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informēt Ministru kabinetu par tālāku rīcību 4.3.6.7. pasākuma "Starpnozaru sadarbības un atbalsta sistēmas izveide bērnu veselīgai attīstībai un sekmīgai pašrealizācijai" īstenošanā, ja Eiropas Komisija neatbalsta Eiropas Savienības kohēzijas politikas programmas 2021.–2027. gadam grozījumu priekšlikumu par šī pasākuma finansējuma un rādītāju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40 939 310 </w:t>
            </w:r>
            <w:r w:rsidR="00000000" w:rsidRPr="00000000" w:rsidDel="00000000">
              <w:rPr>
                <w:i w:val="1"/>
                <w:rtl w:val="0"/>
              </w:rPr>
              <w:t xml:space="preserve">euro</w:t>
            </w:r>
            <w:r w:rsidR="00000000" w:rsidRPr="00000000" w:rsidDel="00000000">
              <w:rPr>
                <w:rtl w:val="0"/>
              </w:rPr>
              <w:t xml:space="preserve"> (no tā elastības finansējums 5 738 372 </w:t>
            </w:r>
            <w:r w:rsidR="00000000" w:rsidRPr="00000000" w:rsidDel="00000000">
              <w:rPr>
                <w:i w:val="1"/>
                <w:rtl w:val="0"/>
              </w:rPr>
              <w:t xml:space="preserve">euro</w:t>
            </w:r>
            <w:r w:rsidR="00000000" w:rsidRPr="00000000" w:rsidDel="00000000">
              <w:rPr>
                <w:rtl w:val="0"/>
              </w:rPr>
              <w:t xml:space="preserve">), tai skaitā Eiropas Sociālā fonda Plus finansējums 34 798 413 </w:t>
            </w:r>
            <w:r w:rsidR="00000000" w:rsidRPr="00000000" w:rsidDel="00000000">
              <w:rPr>
                <w:i w:val="1"/>
                <w:rtl w:val="0"/>
              </w:rPr>
              <w:t xml:space="preserve">euro</w:t>
            </w:r>
            <w:r w:rsidR="00000000" w:rsidRPr="00000000" w:rsidDel="00000000">
              <w:rPr>
                <w:rtl w:val="0"/>
              </w:rPr>
              <w:t xml:space="preserve"> (no tā elastības finansējums 4 877 616 </w:t>
            </w:r>
            <w:r w:rsidR="00000000" w:rsidRPr="00000000" w:rsidDel="00000000">
              <w:rPr>
                <w:i w:val="1"/>
                <w:rtl w:val="0"/>
              </w:rPr>
              <w:t xml:space="preserve">euro</w:t>
            </w:r>
            <w:r w:rsidR="00000000" w:rsidRPr="00000000" w:rsidDel="00000000">
              <w:rPr>
                <w:rtl w:val="0"/>
              </w:rPr>
              <w:t xml:space="preserve">) un valsts budžeta līdzfinansējums 6 140 897 </w:t>
            </w:r>
            <w:r w:rsidR="00000000" w:rsidRPr="00000000" w:rsidDel="00000000">
              <w:rPr>
                <w:i w:val="1"/>
                <w:rtl w:val="0"/>
              </w:rPr>
              <w:t xml:space="preserve">euro</w:t>
            </w:r>
            <w:r w:rsidR="00000000" w:rsidRPr="00000000" w:rsidDel="00000000">
              <w:rPr>
                <w:rtl w:val="0"/>
              </w:rPr>
              <w:t xml:space="preserve"> (no tā elastības finansējums 860 756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ietvaros pieejamo un plānoto finansējumu, lai nodrošinātu, ka Eiropas Sociālā fonda Plus finansējums nepārsniedz 85%, kā arī atbilst Programmas papildinājumā norādītajam, kas ir pieejams Eiropas Savienības fondu mājas lapā šeit: https://www.esfondi.lv/profesionaliem/planosana/planotas-atlases-2.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precizēta arī anotācijā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40 939 310 euro (no tā elastības finansējums 5 738 372 euro), tai skaitā Eiropas Sociālā fonda Plus finansējums 34 798 413 euro (no tā elastības finansējums 4 877 616 euro) un valsts budžeta līdzfinansējums 6 140 897 euro (no tā elastības finansējums 860 75</w:t>
            </w:r>
            <w:r w:rsidR="00000000" w:rsidRPr="00000000" w:rsidDel="00000000">
              <w:rPr>
                <w:b w:val="1"/>
                <w:rtl w:val="0"/>
              </w:rPr>
              <w:t xml:space="preserve">5</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kārtā pieejamais kopējais finansējums ir 22 019 59</w:t>
            </w:r>
            <w:r w:rsidR="00000000" w:rsidRPr="00000000" w:rsidDel="00000000">
              <w:rPr>
                <w:b w:val="1"/>
                <w:rtl w:val="0"/>
              </w:rPr>
              <w:t xml:space="preserve">2</w:t>
            </w:r>
            <w:r w:rsidR="00000000" w:rsidRPr="00000000" w:rsidDel="00000000">
              <w:rPr>
                <w:rtl w:val="0"/>
              </w:rPr>
              <w:t xml:space="preserve"> euro, ko veido Eiropas Sociālā fonda Plus finansējums – 18 716 653 euro un valsts budžeta līdzfinansējums – 3 302 93</w:t>
            </w:r>
            <w:r w:rsidR="00000000" w:rsidRPr="00000000" w:rsidDel="00000000">
              <w:rPr>
                <w:b w:val="1"/>
                <w:rtl w:val="0"/>
              </w:rPr>
              <w:t xml:space="preserve">9</w:t>
            </w:r>
            <w:r w:rsidR="00000000" w:rsidRPr="00000000" w:rsidDel="00000000">
              <w:rPr>
                <w:rtl w:val="0"/>
              </w:rPr>
              <w:t xml:space="preserve"> euro, projekta iesniegumā kopējo pieejamo finansējumu plāno ne vairāk kā 18 933 15</w:t>
            </w:r>
            <w:r w:rsidR="00000000" w:rsidRPr="00000000" w:rsidDel="00000000">
              <w:rPr>
                <w:b w:val="1"/>
                <w:rtl w:val="0"/>
              </w:rPr>
              <w:t xml:space="preserve">5</w:t>
            </w:r>
            <w:r w:rsidR="00000000" w:rsidRPr="00000000" w:rsidDel="00000000">
              <w:rPr>
                <w:rtl w:val="0"/>
              </w:rPr>
              <w:t xml:space="preserve"> euro apmērā, ko veido Eiropas Sociālā fonda Plus finansējums 16 093 181 euro apmērā un valsts budžeta līdzfinansējums 2 839 97</w:t>
            </w:r>
            <w:r w:rsidR="00000000" w:rsidRPr="00000000" w:rsidDel="00000000">
              <w:rPr>
                <w:b w:val="1"/>
                <w:rtl w:val="0"/>
              </w:rPr>
              <w:t xml:space="preserve">4</w:t>
            </w:r>
            <w:r w:rsidR="00000000" w:rsidRPr="00000000" w:rsidDel="00000000">
              <w:rPr>
                <w:rtl w:val="0"/>
              </w:rPr>
              <w:t xml:space="preserve">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pieejamais kopējais finansējums ir 18 919 71</w:t>
            </w:r>
            <w:r w:rsidR="00000000" w:rsidRPr="00000000" w:rsidDel="00000000">
              <w:rPr>
                <w:b w:val="1"/>
                <w:rtl w:val="0"/>
              </w:rPr>
              <w:t xml:space="preserve">8</w:t>
            </w:r>
            <w:r w:rsidR="00000000" w:rsidRPr="00000000" w:rsidDel="00000000">
              <w:rPr>
                <w:rtl w:val="0"/>
              </w:rPr>
              <w:t xml:space="preserve"> euro, ko veido Eiropas Sociālā fonda Plus finansējums – 16 081 760 euro un valsts budžeta līdzfinansējums – 2 837 95</w:t>
            </w:r>
            <w:r w:rsidR="00000000" w:rsidRPr="00000000" w:rsidDel="00000000">
              <w:rPr>
                <w:b w:val="1"/>
                <w:rtl w:val="0"/>
              </w:rPr>
              <w:t xml:space="preserve">8</w:t>
            </w:r>
            <w:r w:rsidR="00000000" w:rsidRPr="00000000" w:rsidDel="00000000">
              <w:rPr>
                <w:rtl w:val="0"/>
              </w:rPr>
              <w:t xml:space="preserve"> euro, projekta iesniegumā kopējo pieejamo finansējumu plāno ne vairāk kā 16 267 784 euro apmērā, ko veido Eiropas Sociālā fonda Plus finansējums 13 827 616 euro apmērā un valsts budžeta finansējums 2 440 168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Noprecizēts MK not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40 939 310 </w:t>
            </w:r>
            <w:r w:rsidR="00000000" w:rsidRPr="00000000" w:rsidDel="00000000">
              <w:rPr>
                <w:i w:val="1"/>
                <w:rtl w:val="0"/>
              </w:rPr>
              <w:t xml:space="preserve">euro</w:t>
            </w:r>
            <w:r w:rsidR="00000000" w:rsidRPr="00000000" w:rsidDel="00000000">
              <w:rPr>
                <w:rtl w:val="0"/>
              </w:rPr>
              <w:t xml:space="preserve"> (no tā elastības finansējums 5 738 371 </w:t>
            </w:r>
            <w:r w:rsidR="00000000" w:rsidRPr="00000000" w:rsidDel="00000000">
              <w:rPr>
                <w:i w:val="1"/>
                <w:rtl w:val="0"/>
              </w:rPr>
              <w:t xml:space="preserve">euro</w:t>
            </w:r>
            <w:r w:rsidR="00000000" w:rsidRPr="00000000" w:rsidDel="00000000">
              <w:rPr>
                <w:rtl w:val="0"/>
              </w:rPr>
              <w:t xml:space="preserve">), tai skaitā Eiropas Sociālā fonda Plus finansējums 34 798 413 </w:t>
            </w:r>
            <w:r w:rsidR="00000000" w:rsidRPr="00000000" w:rsidDel="00000000">
              <w:rPr>
                <w:i w:val="1"/>
                <w:rtl w:val="0"/>
              </w:rPr>
              <w:t xml:space="preserve">euro</w:t>
            </w:r>
            <w:r w:rsidR="00000000" w:rsidRPr="00000000" w:rsidDel="00000000">
              <w:rPr>
                <w:rtl w:val="0"/>
              </w:rPr>
              <w:t xml:space="preserve"> (no tā elastības finansējums 4 877 616 </w:t>
            </w:r>
            <w:r w:rsidR="00000000" w:rsidRPr="00000000" w:rsidDel="00000000">
              <w:rPr>
                <w:i w:val="1"/>
                <w:rtl w:val="0"/>
              </w:rPr>
              <w:t xml:space="preserve">euro</w:t>
            </w:r>
            <w:r w:rsidR="00000000" w:rsidRPr="00000000" w:rsidDel="00000000">
              <w:rPr>
                <w:rtl w:val="0"/>
              </w:rPr>
              <w:t xml:space="preserve">) un valsts budžeta līdzfinansējums 6 140 897 </w:t>
            </w:r>
            <w:r w:rsidR="00000000" w:rsidRPr="00000000" w:rsidDel="00000000">
              <w:rPr>
                <w:i w:val="1"/>
                <w:rtl w:val="0"/>
              </w:rPr>
              <w:t xml:space="preserve">euro</w:t>
            </w:r>
            <w:r w:rsidR="00000000" w:rsidRPr="00000000" w:rsidDel="00000000">
              <w:rPr>
                <w:rtl w:val="0"/>
              </w:rPr>
              <w:t xml:space="preserve"> (no tā elastības finansējums 860 755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aktivitātes vecāku un speciālistu motivēšanai un informēšanai, kapacitātes stiprināšanas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un kā šis 18.12. apakšpunkts tiek grozīts. Šobrīd ar ierosinātajiem grozījumiem šī apakšpunkta redakcija ir vienāda ar spēkā esošo MK noteikumu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padziļināta attīstības risku izvērtēšana un atbalsta pasākumu plāna izstrāde multiprofesionālā speciālistu komandā bērniem ar konstatētiem augstiem riskiem attīstībā, multiprofesionālo speciālistu komandu darba nodrošināšana, tai skaitā  agrīno intervenču nodrošināšana, metodikas izstrāde multiprofesionālo speciālistu komandu darbam pediatru vadībā, pamatojoties uz starpsektoru sadarbību (tikai otrās kārtas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kāda finansējuma ietvaros tiek plānots īstenot jauno 18.13. apakšpunktā minēto atbalstāmo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zem kuras Programmas 4.3.6. specifiskā atbalsta mērķa "Veicināt nabadzības vai sociālās atstumtības riskam pakļauto cilvēku, tostarp vistrūcīgāko un bērnu, sociālo integrāciju" atbalstāmās darbības tiek plānota 18.13. apakšpunktā atbalstāmā darbība, lai nodrošinātu nepārprotamu sasaisti ar Programmā plānoto darbību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"Problēmas un risinājumi"sadaļā "Darbību apraksts" ir sniegts apraksts par 18.13. apakšpunktā minēto darbību un tās nepieciešamību, kā arī tās finansēšanu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padziļināta attīstības risku izvērtēšana un atbalsta pasākumu plāna izstrāde bērnu attīstības multiprofesionālā speciālistu komandā bērniem ar konstatētiem augstiem riskiem attīstībā, bērnu attīstības multiprofesionālo speciālistu komandu darba nodrošināšana, tai skaitā  agrīno intervenču nodrošināšana, metodikas izstrāde bērnu attīstības multiprofesionālo speciālistu komandu darbam, pamatojoties uz starpsektoru sadarbību (tikai otrās kārtas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pirmās kārtas ietvaros tiešās attiecināmās personāla izmaksas, kuras ir šo noteikumu </w:t>
            </w:r>
            <w:r w:rsidR="00000000" w:rsidRPr="00000000" w:rsidDel="00000000">
              <w:rPr>
                <w:rtl w:val="0"/>
              </w:rPr>
              <w:t xml:space="preserve">18.18.</w:t>
            </w:r>
            <w:r w:rsidR="00000000" w:rsidRPr="00000000" w:rsidDel="00000000">
              <w:rPr>
                <w:rtl w:val="0"/>
              </w:rPr>
              <w:t xml:space="preserve"> apakšpunktā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projekta tiešajām attiecināmajām īstenošanas izmaksām. Minētās atbalstāmās darbības ietvaros ir attiecināmas finansējuma saņēmēja projekta vadības personāla un īstenošanas personāla, kā arī sadarbības partnera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personāla izmaksas pasākuma ietvaros tiek dalītas divās atlases kārtās, kur otrai atlases kārtai personāla izmaksām netiek plānots pielietot vienoto izmaksu likmi, aicinām izvērtēt/ skaidrot vai apstiprinātā/ar vadošo iestādi saskaņotā 19% izmaksu vienotā likme nav jāpārskata, balstoties uz to, ka ar grozījumiem šo likmi plānots attiecināt tikai uz pirmo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detalizētāku argumentāciju, kāpēc otrai atlases kārtai netiek plānota/piemērota izmaksu vienotā likme (kāpēc pāriet uz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šiem grozījumiem tiek samazināts arī elastības finansējums, tad, veicot pārrēķinus vienotajai likmei 1.kārtai, tika secināts, ka vienotā likme sastāda 21%, tomēr Valsts kanceleja kopā ar finansējuma saņēmēju uzskata, ka 19% vienotā likme, kas ir noteikta MK not.749 ir pietiekama un to nav nepieciešams precizēt līdz 20%, kas ir maksimāli atļautais apmērs. Papildus norādām, ka detalizēts apraksts par nepieciešamību pāriet uz reālajām izmaksām anotācijā jau ir 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pirmās kārtas ietvaros tiešās attiecināmās personāla izmaksas, kuras ir šo noteikumu </w:t>
            </w:r>
            <w:r w:rsidR="00000000" w:rsidRPr="00000000" w:rsidDel="00000000">
              <w:rPr>
                <w:rtl w:val="0"/>
              </w:rPr>
              <w:t xml:space="preserve">18.18.</w:t>
            </w:r>
            <w:r w:rsidR="00000000" w:rsidRPr="00000000" w:rsidDel="00000000">
              <w:rPr>
                <w:rtl w:val="0"/>
              </w:rPr>
              <w:t xml:space="preserve"> apakšpunktā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ietvaros sniedzām FM atzinumu par minēto noteikumu projektu. Vienlaikus ir radies viens tehnisks komentārs, kuru atzinumā neiekļāvām, tādēļ nosūtu to elektroniski un lūdzu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terminoloģijas lietojumu noteikumos, kā arī terminu atbilstību normatīvajiem aktiem, kas nosaka kārtību, kādā Eiropas Savienības fondu vadībā iesaistītās institūcijas nodrošina šo fondu ieviešanu 2021.–2027. gada plānošanas periodā, lūdzam aizvietot vārdus “informācijas un publicitātes pasākumus” ar vārdiem “komunikācijas un vizuālās identitātes prasību nodrošināšanas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25-TA-1092</w:t>
    </w:r>
    <w:r>
      <w:br/>
    </w:r>
    <w:r w:rsidR="00000000" w:rsidRPr="00000000" w:rsidDel="00000000">
      <w:rPr>
        <w:rtl w:val="0"/>
      </w:rPr>
      <w:t xml:space="preserve">31.10.2025. 16.30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25-TA-1092</w:t>
    </w:r>
    <w:r>
      <w:br/>
    </w:r>
    <w:r w:rsidR="00000000" w:rsidRPr="00000000" w:rsidDel="00000000">
      <w:rPr>
        <w:rtl w:val="0"/>
      </w:rPr>
      <w:t xml:space="preserve">31.10.2025. 16.30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Izziņa_25-TA-1092.docx</dc:title>
</cp:coreProperties>
</file>

<file path=docProps/custom.xml><?xml version="1.0" encoding="utf-8"?>
<Properties xmlns="http://schemas.openxmlformats.org/officeDocument/2006/custom-properties" xmlns:vt="http://schemas.openxmlformats.org/officeDocument/2006/docPropsVTypes"/>
</file>