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5. marta rīkojumā Nr. 168 "Par 2.1.3.1.i. investīcijas projekta "Vēlēšanu procesa digitalizācija un automatizācija"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(05.03.2024.)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marta rīkojumā Nr. 168 "Par 2.1.3.1.i. investīcijas projekta "Vēlēšanu procesa digitalizācija un automatizācija"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 gada 5. marta rīkojuma Nr. 168 "Par 2.1.3.1.i. investīcijas projekta "Vēlēšanu procesa digitalizācija un automatizācija" pases un centralizētās funkcijas vai koplietošanas pakalpojumu attīstības plāna apstiprināšanu" (turpmāk - rīkojums Nr. 168) 1. pielikuma (pases) projekta 4.3.1., 4.3.2. un 4.3.3. apakšpunktā minētās summas pārsniedz projektam piešķirto Atveseļošanas un noturības mehānisma finansējumu 3 360 000 euro apmērā. Lūdzam atbilstoši precizēt finansējumu minētajos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Nr. 168 1. pielikuma (pases) projekta 4.3.1., 4.3.2. un 4.3.3. apakšpunktā minētās summas sadaļā “Izmaksu apmērs (indikatīvi)” nepārsniedz projektam piešķirto Atveseļošanas un noturības mehānisma finansējumu 3 360 000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“Maksimālais apmērs” norādītās summas ir ar atrunu “Norādītais izmaksu maksimālais apmērs iespējams tikai tādā gadījumā, ja citā projekta izmaksu pozīcijā būs izmaksu samazinājums un netiks pārsniegts projekta paredzētais kopējais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ja 4.3.2. pozīcijā veidosies atlikums, to iespējams izmantot 4.3.1 pozīcijā neveicot atkārtotus projekta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iekļautā atsauce uz CERT.LV liek secināt, ka ir neprecīzi norādīta institūcija, kas sniedz rekomendācijas par fizisko drošību. CERT.LV nesniedz rekomendācijas par fizisko drošību – šādas vadlīnijas sniedz valsts drošības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redakcijā tiek saglabāta informācija par datu aizsardzību un fizisko drošību, vienlaikus izvairoties no neprecīza CERT.LV lomas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aizsardzība tiks nodrošināta atbilstoši spēkā esošajam regulējumam, projektā ir iesaistīts datu aizsardzības speciālists. Datu fizisko drošību nodrošinās infrastruktūras turētājs atbilstoši normatīvajos aktos noteiktajām prasībām un attiecīgo drošības iestāžu rekomendācijām.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aizsardzība tiks nodrošināta atbilstoši spēkā esošajam regulējumam, projektā ir iesaistīts datu aizsardzības speciālists. Datu fizisko drošību nodrošinās infrastruktūras turētājs atbilstoši normatīvajos aktos noteiktajām prasībām un attiecīgo drošības iestāžu rekomendācijām.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5. marta rīkojumā Nr. 168 "Par 2.1.3.1.i. investīcijas projekta "Vēlēšanu procesa digitalizācija un automatizācija"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Ministru kabineta 2024. gada 5. marta rīkojuma Nr. 168 "Par 2.1.3.1.i. investīcijas projekta "Vēlēšanu procesa digitalizācija un automatizācija" pases un centralizētās funkcijas vai koplietošanas pakalpojumu attīstības plāna apstiprināšanu" (turpmāk - rīkojums Nr. 168) 1. pielikuma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galveni, tajā ietverot korektu atsauci uz rīkojumu Nr. 168, kura pielikums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7. sadaļā abreviatūru "IKT" pirms vārda "projekta", ņemot vērā, ka citur tekstā tiek lietots apzīmējums "projekts", nevis "IKT projekts", lai nodrošinātu regulējuma viennozīmīgu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rīkojuma Nr. 168 2. pielikuma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galveni, tajā ietverot korektu atsauci uz rīkojumu Nr. 168, kura pielikums tas ir. Turklāt lūdzam precizēt pielikuma numerāciju, ņemot vērā, ka tas ir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5. sadaļā abreviatūru "ANM" pirms vārda "projekts" (attiecīgā locījumā), ņemot vērā, ka citur tekstā tiek lietots apzīmējums "projekts", nevis "ANM projekts", lai nodrošinātu regulējuma viennozīmīgu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uzskaitītos lietotos saīsinājumus ar visiem 2. pielikuma projektā lietotajiem saīsinājumiem.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precizēti pielikumi atbilstoši Finanšu ministrijas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Nr. 168 1. pielikuma projekta 3. sadaļas 3.1. punkta svītrots, ka Projekts paredz pilnveidot arī PMLP pārziņā esošo VR, kurš būs PMLP pārziņā laikposmā no 2025.–2029. gadam, un no 2024. gada 1. septembra VRAA pārziņā esošā ETVR programmatūras (atkarībā no esošās situācijas analīzes rezultātiem), pielāgojot to funkcionalitāti vietējo pašvaldību referendumu procedūras vajadzībām, tādējādi nodrošinot centralizētus IKT risinājumus izmantošanai pašvaldībās vietējo pašvaldību referendumu procedūru norisē.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veikti arī citi atbilstoši precizējumi rīkojuma Nr. 168 1. pielikuma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atbilstošu skaidrojumu šādu grozījumu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projekta anotācijā nepieciešams atspoguļot, kādēļ tiek veikti jebkuri tiesību akta projektā paredzētie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rezultātā starp rīkojumiem pārnesta Elektroniskā tiešsaistes vēlētāju reģistra pilnveide, kā pārzinis līdz 2024.gada 1.septembrim bija Pilsonības un migrācijas lietu pārvalde, bet no 2024.gada 1.septembra Valsts digitālās attīstības aģentūra, </w:t>
            </w:r>
            <w:r w:rsidR="00000000" w:rsidRPr="00000000" w:rsidDel="00000000">
              <w:rPr>
                <w:u w:val="single"/>
                <w:rtl w:val="0"/>
              </w:rPr>
              <w:t xml:space="preserve">kā arī Pilsonības un migrācijas lietu pārvaldes pārziņā esošā vēlētāju reģistra pilnveides darbus nesamazinot kopējo projekta finansējumu.</w:t>
            </w:r>
            <w:r w:rsidR="00000000" w:rsidRPr="00000000" w:rsidDel="00000000">
              <w:rPr>
                <w:rtl w:val="0"/>
              </w:rPr>
              <w:t xml:space="preserve"> Līdz ar grozījumiem MK rīkojumā Nr.168 tiek precizēti darbu apgabali, kas tiks realizēti MK rīkojumā Nr.168, lai neradītu šaubas par dubultā finansējuma izlietojuma riska neesamību starp abiem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piedāvātajiem grozījumiem rīkojuma Nr. 168 1. pielikumā secināms, ka no projekta īstenošanas partneriem tiek svītrots CERT.LV, lūdzam papildināt anotāciju ar atbilstošu skaidrojumu šādu grozījumu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sadarbības partneru saraksta izkļauts CERT pēc abpusējas vienošanās, tomēr CERT turpina sniegt atbalstu projekta laikā uz ārpus projekta noslēgtas vienošanās pamata starp CERT un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plānoto grozījumu ietekmi uz finansējuma saņēmēju un īstenošanā esošo projektu, un vai būs nepieciešams veikt grozījumus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rīkojumā Nr.168 tiek noteikta skaidra demarkācija starp MK rīkojumu Nr.168 un MK rīkojumu Nr.627. </w:t>
            </w:r>
            <w:r w:rsidR="00000000" w:rsidRPr="00000000" w:rsidDel="00000000">
              <w:rPr>
                <w:u w:val="single"/>
                <w:rtl w:val="0"/>
              </w:rPr>
              <w:t xml:space="preserve">Līdz ar projekta grozījumiem tiks veikti nebūtiski grozījumi vienošanās par investīciju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subjektu loku definēt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pilsoņi un Eiropas Savienības pilsoņi, kuriem saskaņā ar Latvijas Republikas normatīvo regulējumu ir tiesības vēlēt un balsot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norādītais subjektu loks ir daudz plašāks, proti, grozāmais normatīvais akts neattiecas uz visiem Eiropas Savienības pilsoņiem, bet tikai uz tiem, kuriem saskaņā ar Latvijas Republikas normatīvo regulējumu ir tiesības vēlēt un balsot.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pilsoņi un Eiropas Savienības pilsoņi, kuriem saskaņā ar Latvijas Republikas normatīvo regulējumu ir tiesības vēlēt un balsot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pilsoņi un Eiropas Savienības pilsoņi, kuriem saskaņā ar Latvijas Republikas normatīvo regulējumu ir tiesības vēlēt un balsot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8.punktā norādīts, ka Finanšu ministrijas priekšlikums ir ņemts vērā, taču, izskatot precizēto anotāciju, ir secināms, ka nav svītrots anotācijas 3.sadaļas punktā “Cita informācija” norādītais, attiecīgi atkārtoti lūdzam svītrot norādīto informāciju, ievērojot, ka ar grozījumiem netiek mainīts projekta īstenošanai un rezultātu uzturēšanai plānotais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3.sadaļas punktā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šiem rīkojuma Nr. 168 grozījumiem netiek mainīts kopējo izdevumu apmērs un uzturēšanas izdevumu apmērs – respektīvi anotācijas 3. sadaļa nemainās attiecībā pret tagad spēkā esošo rīkojuma Nr. 168 saistīto apstiprināto anotāciju, lūdzam precizēt anotācijas 3. sadaļu norādot, ka izmaiņu nav, t sk. svītrojot arī norādīto informāciju 3. 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anotācijas 8.1.12. apakšpunktu, jo ir norādīts, ka skar šo jomu, bet nav sniegts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izveidot vienotus, drošus un mūsdienīgus vēlēšanu digitālas platformas pamatus, kas izveidot mūsdienīgu un pilnvērtīgu risinājumu platformu  e-vidē Latvijas un Eiropas Savienības pilsoņiem demokrātijas īstenošanai un līdzdalības veicināšanai, aktīvākai iedzīvotāju iesaistei suverēnās varas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admnistrācijas un reģionālās attīstības ministrijai uzaicināt finansējuma saņēmēju – Valsts digitālās attīstības aģentūru – iesniegt projekta iesniegumu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(turpmāk – 2.1.3.1.i. investīcija)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attiecas uz rīkojuma projektā precizētiem institūciju nosaukumiem, skaidrojot attiecīgo izmaiņu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izveidot vienotus, drošus un mūsdienīgus vēlēšanu digitālas platformas pamatus, kas izveidot mūsdienīgu un pilnvērtīgu risinājumu platformu  e-vidē Latvijas un Eiropas Savienības pilsoņiem demokrātijas īstenošanai un līdzdalības veicināšanai, aktīvākai iedzīvotāju iesaistei suverēnās varas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admnistrācijas un reģionālās attīstības ministrijai uzaicināt finansējuma saņēmēju – Valsts digitālās attīstības aģentūru – iesniegt projekta iesniegumu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(turpmāk – 2.1.3.1.i. investīcija)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rezultātu uzturēšanas izmaksas plānotas 2026. gadā ne vairāk kā 317 917 euro apmērā un turpmākajos gados ne vairāk kā 545 000 euro apmērā gadā. Viedās administrācijas un reģionālās attīstības ministrijai (Valsts digitālās attīstības aģentūrai) nepieciešamo finansējumu pieprasīt normatīvajos aktos noteiktajā kārtībā, ievērojot Likuma par budžetu un finanšu vadību 9.1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Nr. 168 plānotajā 5.punkta redakcijā norādīto atsauci uz Likuma par budžetu un finanšu vadības pantu,  “9.1 panta otro daļu" vietā norādot “9.1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pēc projekta pabeigšanas projekta rezultātu uzturēšanas izmaksas plānotas 2026. gadā ne vairāk kā 317 917 euro apmērā un turpmākajos gados ne vairāk kā 545 000 euro apmērā gadā. Viedās administrācijas un reģionālās attīstības ministrijai (Valsts digitālās attīstības aģentūrai) nepieciešamo finansējumu pieprasīt normatīvajos aktos noteiktajā kārtībā, ievērojot Likuma par budžetu un finanšu vadību 9.</w:t>
            </w:r>
            <w:r w:rsidR="00000000" w:rsidRPr="00000000" w:rsidDel="00000000">
              <w:rPr>
                <w:vertAlign w:val="superscript"/>
                <w:rtl w:val="0"/>
              </w:rPr>
              <w:t xml:space="preserve">1 </w:t>
            </w:r>
            <w:r w:rsidR="00000000" w:rsidRPr="00000000" w:rsidDel="00000000">
              <w:rPr>
                <w:rtl w:val="0"/>
              </w:rPr>
              <w:t xml:space="preserve">panta otro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(CVK - 07.02.2025.)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redakcionāli precizēt 2.pielikumā  6.punkta pēdējo rindkopu- vārdu aiz personāla “atalgojumam” aizstāt ar vārdu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iekavās esošās vadlīnijas ņemt ārā, jo tās CVK nav saistošas (jo CVK neatkarīga iestāde, kas pakļaujas likumam, MK uzdevumi nav saistoši), to var aizstāt ar vārdiem “atbilstoši spēkā esošiem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2.1.3.1.i. investīcijas projekta “Vēlēšanu procesu digitalizācija un automatizācija” pases 6.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"CVK nepieciešamo Projektā iesaistītā personāla atlīdzībai tiktu novirzīti līdz 10% no kopējā projektam paredzētā budžeta, atbilstoši projekta pases 4.3.3. apakšpunktam, bet ne vairāk kā 326 000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25-TA-181</w:t>
    </w:r>
    <w:r>
      <w:br/>
    </w:r>
    <w:r w:rsidR="00000000" w:rsidRPr="00000000" w:rsidDel="00000000">
      <w:rPr>
        <w:rtl w:val="0"/>
      </w:rPr>
      <w:t xml:space="preserve">07.03.2025. 13.28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25-TA-181</w:t>
    </w:r>
    <w:r>
      <w:br/>
    </w:r>
    <w:r w:rsidR="00000000" w:rsidRPr="00000000" w:rsidDel="00000000">
      <w:rPr>
        <w:rtl w:val="0"/>
      </w:rPr>
      <w:t xml:space="preserve">07.03.2025. 13.28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Izziņa_25-TA-181.docx</dc:title>
</cp:coreProperties>
</file>

<file path=docProps/custom.xml><?xml version="1.0" encoding="utf-8"?>
<Properties xmlns="http://schemas.openxmlformats.org/officeDocument/2006/custom-properties" xmlns:vt="http://schemas.openxmlformats.org/officeDocument/2006/docPropsVTypes"/>
</file>