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24-TA-3218: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2000. gada 26. septembra noteikumos Nr. 330 "Vakcinācijas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ar 14.</w:t>
            </w:r>
            <w:r w:rsidR="00000000" w:rsidRPr="00000000" w:rsidDel="00000000">
              <w:rPr>
                <w:vertAlign w:val="superscript"/>
                <w:rtl w:val="0"/>
              </w:rPr>
              <w:t xml:space="preserve">3</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"Tamro"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Lieltirgotavas maksājuma saistības ar piegādātāju ir īsākas, un par preci ir jānorēķinās ātrāk. Trīs mēnešu vakcīnu krājumu uzturēšana var radīt finansiālu slogu, jo lieltirgotava nevar tik ilgi gaidīt samaksu no NVD itsevišķi, ja NVD samaksu veic vēl 60 dienu laikā pēc piegādes. Šāda krājuma uzturēšana prasa papildus resursus, tostarp noliktavas telpas un personāla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nodrošinātu finansiālu stabilitāti un drošību, ir nepieciešams garantēts vakcīnu iepirkumu apjoms, ar ko lieltirgotavas varētu rēķināties. Ja NVD apņemas izpirkt ne mazāk kā 90% no kopējā pasūtījuma apjoma, tad ir vērts ieguldīt līdzekļus un turēt rezerves atlikumus.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norādāms, ka valstī vairākas reizes bija izveidojusies situācija, kurā bija apdraudēta bērnu, īpaši jaundzimušo vai zīdaiņu, vakcinācija, jo lieltirgotavās nebija pieejamas vakcīnas, kā arī lieltirgotavas nebija savlaicīgi informējušas atbildīgās institūcijas par iespējamiem vakcīnu piegādes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rezerves vakcīnu krājumi ir nepieciešami,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valstī nodrošinātu nepārtrauktu vakcinācijas procesu gadījumos, kad vakcīnu piegādes kavējas vai rodas vakcīnu loģistikas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ātri reaģētu uz infekcijas slimību uzliesmojumiem, kad strauji pieaug pieprasījums pēc konkrētām vakcīnām;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samazinātu risku vakcīnu deficītam, kas var novest pie imunizācijas pārtraukuma un slimību izplatības;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pārvaldītu ārkārtas situācijas (piemēram, pandēmijas, militārs konflikts, dabas katastrofas).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Veselības organizācija norāda, ka vakcīnu drošības krājumu līmeņi primārajos krājumos parasti tiek noteikti tā, lai trīs mēnešus segtu parasto vakcīnu patēriņu (Guideline for establishing or improving primary and intermediate vaccine stores). Šāds vakcīnu krājumu līmenis nodrošina spēju nepārtraukti veikt imunizācijas programmas arī piegādes traucējumu, pieprasījuma pieauguma vai ārkārtas situāciju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ja līguma darbības laikā beidzas preces reģistrācija un prece netiek pārreģistrēta, vai iestājas tādi apstākļi, ka preces ražotāja vainas dēļ, vai citu apstākļu dēļ nav iespējams nodrošināt preces pieejamību tirgū, Piegādātājs par minēto faktu, vismaz 3 (trīs) mēnešus iepriekš, rakstveidā brīdina pārējos Līdzējus. Ja nav iespējas nodrošināt preces pieejamību tirgū, Piegādātājam jānodrošina preces piegāde no rakstveida brīdinājuma izteikšanas vismaz 3 (trīs) mēnešu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tiks iekļauta arī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9. pielikumu jaunā redakcijā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Nosaukumā  norādīts "Atteikums no vakcinācijas bērnam / personai", bet bērns arī ir persona, tāpēc labāk būtu pilngadīgai vai nepilngadīgai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Kļūdaina attiecībā uz pieaugušajiem ir norāde: "Apliecinu, ka esmu informēts /-a par iespējamām smagām sekām veselībai, ja netiek veikta vakcinācija pret konkrēto infekcijas slimību, un apzinos savu atbildību par iespējamām nopietnām sekām mana bērna veselībai, kas ir saistītas ar šo lēmumu atteikties no vakcinācijas." Proti, otrajā teikuma daļā ir par bērnu un saiklis "un", tātad jābūt gan pirmajai daļai, gan otrajai. Tomēr, ja persona nav bērns vai personai nav bērnu, tad otrā daļa nav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Vakcinācijas noteikumos jau tiek lietoti apzīmējumi “bērnu vakcinācijas kalendārs” un “pieaugušo vakcinācija” (Vakcinācijas noteikumu 3. punkts; 1. pielikums; 2. pielikums), vakcinācijas atteikuma nosaukums tiek precizēts uz “Atteikums no vakcinācijas bērnam / pieaugušajam”.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minētais teikums.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ar 14.</w:t>
            </w:r>
            <w:r w:rsidR="00000000" w:rsidRPr="00000000" w:rsidDel="00000000">
              <w:rPr>
                <w:vertAlign w:val="superscript"/>
                <w:rtl w:val="0"/>
              </w:rPr>
              <w:t xml:space="preserve">3</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"Tamro" - 13.06.2025.)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 par saistību izpildi ir jāuzņemas ne tikai piegādātājam, bet arī NVD. Ar NVD slēdzos līgumus ir praktiski neiespējami mainīt, kas var novest pie ļoti lieliem zaudējumiem piegādātājam, ievērojot iepriekš iebildumos norādītos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vakcīnu uzglabāšanas nepārtrauktību un kvalitāti, likumā būtu jāparedz ne tikai NVD tiesības, bet arī pienākums slēgt vakcīnu glabāšanas līgumus ar piegādātāju. Šāda pienākumu sadale veicinātu līdzsvarotu atbildības sadalījumu starp piegādātāju un NVD, nodrošinot, ka abas līgumslēdzējas puses ir vienlīdz iesaistītas un atbildīgas par līguma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šobrīd nevirzīs attiecīgo grozījumu; minētais punkts tiek svītrots no grozījumiem. Veselības ministrija plāno atgriezties pie minētā jautājuma, izstrādājot nākamos grozījumus Vakcinācijas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pielikumā plānotā līguma neizpilde norādīta 909 827 </w:t>
            </w:r>
            <w:r w:rsidR="00000000" w:rsidRPr="00000000" w:rsidDel="00000000">
              <w:rPr>
                <w:i w:val="1"/>
                <w:rtl w:val="0"/>
              </w:rPr>
              <w:t xml:space="preserve">euro</w:t>
            </w:r>
            <w:r w:rsidR="00000000" w:rsidRPr="00000000" w:rsidDel="00000000">
              <w:rPr>
                <w:rtl w:val="0"/>
              </w:rPr>
              <w:t xml:space="preserve">, savukārt anotācijas 1. pielikumā atlikums atbilstoši plānotajai izpildes prognozei ir norādīts 856 475 </w:t>
            </w:r>
            <w:r w:rsidR="00000000" w:rsidRPr="00000000" w:rsidDel="00000000">
              <w:rPr>
                <w:i w:val="1"/>
                <w:rtl w:val="0"/>
              </w:rPr>
              <w:t xml:space="preserve">euro</w:t>
            </w:r>
            <w:r w:rsidR="00000000" w:rsidRPr="00000000" w:rsidDel="00000000">
              <w:rPr>
                <w:rtl w:val="0"/>
              </w:rPr>
              <w:t xml:space="preserve">. Līdz ar to lūdzam salāgot informāciju anotācijas 1. un 2.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pielikumā indikatīvi tiek prognozēta neizpilde sadaļā "Vakcīnas", kur 2024. gadam un turpmāk tiek prognozēta finansējuma neizpilde 909 827 euro apmērā, kas 1.pielikumā parādās 7. rindiņā (starpība starp C7 un B7). Savukārt, lai saprastu finansējuma izpildi/ neizpildi visā apakšprogrammā, 1.pielikumā ir veikta visas 33.04.00 apakšprogrammas analīze, kur indikatīvi prognozētā neizpilde 2024. gadam un turpmāk 856 475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 pielikumu, jo tabulas “Izdevumi” ailē “Plānotais finansējums (līgumi) 2025.gadam” norādītā kopsumma nesakrīt ar tabulas “Resursi” ailē “Apakšprogrammā 33.04.00 "Centralizēta medikamentu un materiālu iegāde" norādīto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finansējums (līgumi) nav jāsakrīt ar Resursiem, jo piemēram, vakcīnu līgumi NVD ir noslēgti par lielāku vakcīnu skaitu, bet atbilstoši līguma nosacījumiem tiek iepirkts un apmaksāts atbilstoši faktiskajai nepieciešamībai.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 sadaļas 6.2. apakšpunktam Veselības ministrijas budžeta apakšprogrammas 33.04.00 “Centralizēta medikamentu un materiālu iegāde” ietvaros noteikuma projektā paredzēto pasākumu īstenošanai tiek paredzēta līdzekļu pārdale no citiem pasākumiem 2025.gadam 347 321 euro apmērā un 2026. gadam un turpmāk ik gadu 694 639 euro apmērā. Savukārt atbilstoši anotācijas 1. un 2. pielikumam citiem pasākumiem plānotā neizpilde ir norādīta lielākā apmērā nekā tiek novirzīts noteikumu projektā paredzēto pasākumu īstenošanai. Līdz ar to lūdzam anotācijas 3. sadaļas 6.2. apakšpunktā norādīt, kādiem izdevumiem un kādā apmērā tiks novirzīts pārējais atlikums.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6.2. apakšpunkts papildināts ar informāciju, ka atlikušais finansējums no indikatīvi plānotās neizpildes primāri tiks novirzīts gripas vakcīnu nodrošināšanai iepriekšējā gada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informācija” norādīt, ka noteikumu projektā paredzēto pasākumu īstenošana tiks nodrošināta Veselības ministrijas budžeta apakšprogrammā 33.04.00 "Centralizēta medikamentu un materiālu iegāde" piešķirto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 sadaļas 6. punktā norādīto, ka finansēšanas avots noteikumu projektā iekļauto pasākumu īstenošanai tiks pārdalīts no citiem pasākumiem, kam tiek prognozēta neizpilde, informācija par ietekmi uz valsts budžetu ir norādāma anotācijas 3. sadaļas 2. punktā un 2.1. apakšpunktā,  3. punktā un 3.1. apakšpunktā, un 4. punktā, attiecīgi svītrojot 1. punktā un 1.1. apakšpunktā uzrādīto ietekmi. Turklāt ietekme par 2025. gadu uzrādāma 3. ailē “2025 izmaiņas kārtējā gadā, salīdzinot ar valsts budžetu kārtējam gadam”, 2026. gadam un turpmākiem gadiem attiecīgi  5., 7. un 8. ailē “izmaiņas, salīdzinot ar vidēja termiņa budžeta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lūdzam precizēt gadus, par kuriem ir uzrādāma ietekme, t.i., 2024. gada vietā norādot 2025. gadu, un attiecīgi precizējot turpmākos trīs gadus, t.i., 2026, 2027, 2028.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2000. gada 26. septembra noteikumos Nr. 330 "Vakcinācijas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(SIFFA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SIFFA atbalsta Vakcinācijas noteikumu tālāku virzību,</w:t>
            </w:r>
            <w:r w:rsidR="00000000" w:rsidRPr="00000000" w:rsidDel="00000000">
              <w:rPr>
                <w:rtl w:val="0"/>
              </w:rPr>
              <w:t xml:space="preserve"> tomēr aicina apsvērt sekojošus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izteikt 3.7. punktu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3.7. bērni no viena gada līdz 18 gadu vecuma sasniegšanai – pret ērču encefalītu.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23.1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Saskaņā ar zinātniskiem datiem visa Latvijas teritorija atrodas ērču encefalīta endēmiskajā reģionā (WHO dati, ASV CDC Yellow Book). Latvijā ir viens no augstākiem ērču encefalīta incidences līmeņiem Eiropā – 12.6 gadījumi uz 100 000 iedzīvotājiem gadā (Zane Freimane, Guntis Karelis, Maksims Zolovs, Dace Zavadska,  2024. doi.org/10.1371/journal.pone.0305120). Ņemot vērā šos faktus ir nepieciešams palielināt bērnu vakcinācijas pret ērču encefalītu aptveri visā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papildināt 3.2 punktā minētās infekciju slimības ar Pneimokoku infekciju.</w:t>
            </w:r>
            <w:r w:rsidR="00000000" w:rsidRPr="00000000" w:rsidDel="00000000">
              <w:rPr>
                <w:rtl w:val="0"/>
              </w:rPr>
              <w:t xml:space="preserve"> Noteikumu 44. punktā noteikt  riska grupu pacientus, kam tiks nodrošināta valsts apmaksātā vakcinācija pret pneimokoku infekciju. Veikt nepieciešamās redakcionālās izmaiņas citos saistītos MK noteikumu punktos.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 SPKC publicētās “Praktiskās rekomendācijas vakcinācijai veseliem pieaugušajiem un riska grupu indivīdiem Latvijā (https://www.spkc.gov.lv/lv/vakcinacija). Imunizācijas valsts padomes rekomendācijas (IVP 2022.gada 02.novembra sanāksmes protokols) (https://www.vm.gov.lv/lv/imunizacijas-valsts-padome)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IVP stingri rekomendē: “Riska grupu pacientiem un 65+ senioriem rast iespēju vakcināciju ar PCV nodrošināt par valsts budžeta līdzekļiem. Nekavējoties tas būtu nodrošināms augstas imūnsupresijas pacientiem, t.sk. pirms imūnsupresējošās terapijas uzsākšanas, pielietojot konjugēto pneimokoku vakcīnu ar maksimālo serotipu skaitu tajā”.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Tāpat aicinām anotācijā skaidrot sekojošus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iekļaut pamatojumu sekojošam noteikumu redakcijā iekļautajam punktam: "9.1 Atbilstoši rekomendācijām, kas tiek publicētas Slimību profilakses un kontroles centra tīmekļvietnē, ir pieļaujama vakcīnu mērķtiecīga ārpusmarķējuma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44.1 punkta tika svītrots riska grupu saraksts (personas kurām no valsts budžeta līdzekļiem veic vakcināciju pret sezonālo gripu). Ar izmaiņām tiek plānots, ka riska grupu saraksts tiks publicēts SPKS tīmekļvietnē. Cik bieži SPKC pārskatīs šo sarakstu un kāds būs saraksta pārskatīšanas pamatojums? Vai Riska grupu izslēgšana no MK noteikumiem ir saistīta ar pašlaik definēto riska grupu vakcinācijai nepieciešamā budžeta nepietiekamību un tādēļ riska grupas tiks samazinātas?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visu bērnu vakcināciju pret ērču encefalītu un riska grupu vakcināciju pret pneimokoku infekciju, ir nepieciešams rast papildu finanšu līdzekļus, kas šobrīd nav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27. marta rīkojuma Nr. 179 “Par likumprojekta “Par valsts budžetu 2026. gadam un budžeta ietvaru 2026., 2027. un 2028. gadam” sagatavošanas grafiku” 2.1., 2.4. apakšpunktam un pielikuma 10. punktam līdz 2025. gada 30. jūnijam nozaru ministrijām jāveic nozaru budžetu izdevumu analīze un jāsagatavo priekšlikumi sava budžeta resora izdevumu efektivizēšanai (tai skaitā izdevumu samazināšanai, optimizējot funkcijas, publiskos pakalpojumus un veicot strukturālas reformas), paredzot, ka izdevumu pārskatīšanas rezultātā iegūtie līdzekļi primāri tiek novirzīti aizsardzības izdevumu un demogrāfijas pasākumu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Mātes un bērna veselības uzlabošanas plāna 2025.-2027. gadam projektā tiek plānoti pasākumi primārajā slimību profilaksē, tajā skaitā bērnu vakcinācijai pret ērču encefalītu.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pievienos šīs iniciatīvas citiem prioritāri realizējamiem pasākumiem, tiklīdz būs šāda iespēja.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9.</w:t>
            </w:r>
            <w:r w:rsidR="00000000" w:rsidRPr="00000000" w:rsidDel="00000000">
              <w:rPr>
                <w:vertAlign w:val="superscript"/>
                <w:rtl w:val="0"/>
              </w:rPr>
              <w:t xml:space="preserve">1</w:t>
            </w:r>
            <w:r w:rsidR="00000000" w:rsidRPr="00000000" w:rsidDel="00000000">
              <w:rPr>
                <w:rtl w:val="0"/>
              </w:rPr>
              <w:t xml:space="preserve"> punkta iekļaušanai Vakcinācijas noteikumos jau ir sniegts noteikumu projekta anotācijas 6.-8. lpp., kā arī ir norādīts, ka vairākas vakcīnas jau tiek Latvijā lietotas pēc "off-label" principa un to rekomendē Imunizācijas valsts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grozījumu veikšanai Vakcinācijas noteikumu 44.</w:t>
            </w:r>
            <w:r w:rsidR="00000000" w:rsidRPr="00000000" w:rsidDel="00000000">
              <w:rPr>
                <w:vertAlign w:val="superscript"/>
                <w:rtl w:val="0"/>
              </w:rPr>
              <w:t xml:space="preserve">1</w:t>
            </w:r>
            <w:r w:rsidR="00000000" w:rsidRPr="00000000" w:rsidDel="00000000">
              <w:rPr>
                <w:rtl w:val="0"/>
              </w:rPr>
              <w:t xml:space="preserve"> punktā ir sniegts noteikumu projekta anotācijas 6. un 8. lpp. Nav plānota riska grupu izslēgšana no valsts apmaksātas vakcinācijas pret sezonālo gripu, tādēļ arī nav paredzēts kāds konkrēts termiņš riska grupu pārskatīšanai. Priekšlikumus riska grupu papildināšanai sniedz Imunizācijas valsts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6.2.apakšpunkta pirmo rindkopu, jo noteikumu projektā minētajai vakcinācijai pret CPV infekciju riska grupām un jauniešiem no 18 līdz 25 gadiem (ieskaitot), un vakcināciju pret masalām, masaliņām, epidēmisko parotītu, B hepatītu, vējbakām nodrošināšana iepriekš nevakcinētiem jauniešiem līdz 25 gadiem (ieskaitot), līdzekļi tiks pārdalīti no citiem pasākumiem, kam tiek prognozēta neizpilde.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3.sadaļas 6.2.apakšpunkta pirmā rindkopa atbilstoši Finanšu ministrijas sniegtajam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 pielikuma tabulu “Resursi”, jo tajā minētais MK 22.10.2024. sēdes protokola Nr.45  28.§ neparedz 600 012 euro  pārdali uz apakšprogrammu 33.03.00 "Kompensējamo medikamentu un materiālu apmaksāšana ". Vēršam uzmanību, ka minēto pārdali paredz MK 08.10.2024. sēdes protokola Nr.41  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sakārtot anotācijas pielikumu numerāciju, kā arī anotācijas 3. sadaļas 6.2. apakšpunktā ietvert atsauces uz visiem anotācijas pielikumiem.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 punktā “Detalizēts ieņēmumu un izdevumu aprēķins” norādīto informāciju lūdzam pārcelt uz 6.2. apakšpunktu “detalizēts izdevumu aprēķins”.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Atteikums no vakcinācijas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9.pielikuma redakciju, ievērojot, ka vakcinācijas atteikuma veidlapu aizpildīs arī personas pilnvarotā persona, līdz ar ko atteikums formulējams ne tikai pirmajā personā un attiecībā uz bērnu, bet arī attiecībā uz pilnvaras devēju saskaņā ar Pacientu tiesību 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9.pielikuma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Atteikums no vakcinācijas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24-TA-3218</w:t>
    </w:r>
    <w:r>
      <w:br/>
    </w:r>
    <w:r w:rsidR="00000000" w:rsidRPr="00000000" w:rsidDel="00000000">
      <w:rPr>
        <w:rtl w:val="0"/>
      </w:rPr>
      <w:t xml:space="preserve">03.07.2025. 13.09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24-TA-3218</w:t>
    </w:r>
    <w:r>
      <w:br/>
    </w:r>
    <w:r w:rsidR="00000000" w:rsidRPr="00000000" w:rsidDel="00000000">
      <w:rPr>
        <w:rtl w:val="0"/>
      </w:rPr>
      <w:t xml:space="preserve">03.07.2025. 13.09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Izziņa_24-TA-3218.docx</dc:title>
</cp:coreProperties>
</file>

<file path=docProps/custom.xml><?xml version="1.0" encoding="utf-8"?>
<Properties xmlns="http://schemas.openxmlformats.org/officeDocument/2006/custom-properties" xmlns:vt="http://schemas.openxmlformats.org/officeDocument/2006/docPropsVTypes"/>
</file>