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23-TA-1537: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4.3.3.5.pasākuma “Ilgāka un labāka darba mūža veicināšana”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Eiropas Savienības fondu 2021.—2027. gada plānošanas perioda vadības likuma 20. panta 6. un 13.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izdošanas pamatu, ņemot vērā, ka tas ir Eiropas Savienības fondu 2021.-2027. gada plānošanas perioda vadības likuma </w:t>
            </w:r>
            <w:r w:rsidR="00000000" w:rsidRPr="00000000" w:rsidDel="00000000">
              <w:rPr>
                <w:u w:val="single"/>
                <w:rtl w:val="0"/>
              </w:rPr>
              <w:t xml:space="preserve">19. panta</w:t>
            </w:r>
            <w:r w:rsidR="00000000" w:rsidRPr="00000000" w:rsidDel="00000000">
              <w:rPr>
                <w:rtl w:val="0"/>
              </w:rPr>
              <w:t xml:space="preserve"> 6. un 13.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Izdoti saskaņā ar Eiropas Savienības fondu 2021.–2027. gada plānošanas perioda vadības likuma 19. panta 6. un 13.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Ministra kabineta (turpmāk — MK) noteikumu projekta izdošanas pamats.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Eiropas Savienības fondu 2021.—2027. gada plānošanas perioda vadības likuma 19. panta 6. un 13. punktu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16.1.3. veicot ārpuskārtas obligātās veselības pārbaudes un atbilstoši šo noteikumu </w:t>
            </w:r>
            <w:r w:rsidR="00000000" w:rsidRPr="00000000" w:rsidDel="00000000">
              <w:rPr>
                <w:rtl w:val="0"/>
              </w:rPr>
              <w:t xml:space="preserve">16.1.1. </w:t>
            </w:r>
            <w:r w:rsidR="00000000" w:rsidRPr="00000000" w:rsidDel="00000000">
              <w:rPr>
                <w:rtl w:val="0"/>
              </w:rPr>
              <w:t xml:space="preserve">apakšpunktā</w:t>
            </w:r>
            <w:r w:rsidR="00000000" w:rsidRPr="00000000" w:rsidDel="00000000">
              <w:rPr>
                <w:rtl w:val="0"/>
              </w:rPr>
              <w:t xml:space="preserve"> minētajā katalogā par veselības veicināšanas un uzlabošanas pasākumiem noteiktajam iesaistot veselības uzlabošanas pasākumos šo noteikumu </w:t>
            </w:r>
            <w:r w:rsidR="00000000" w:rsidRPr="00000000" w:rsidDel="00000000">
              <w:rPr>
                <w:rtl w:val="0"/>
              </w:rPr>
              <w:t xml:space="preserve">3.1. </w:t>
            </w:r>
            <w:r w:rsidR="00000000" w:rsidRPr="00000000" w:rsidDel="00000000">
              <w:rPr>
                <w:rtl w:val="0"/>
              </w:rPr>
              <w:t xml:space="preserve">apakšpunktā</w:t>
            </w:r>
            <w:r w:rsidR="00000000" w:rsidRPr="00000000" w:rsidDel="00000000">
              <w:rPr>
                <w:rtl w:val="0"/>
              </w:rPr>
              <w:t xml:space="preserve"> minētos nodarbinātos vecumā no 45 gadiem;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noteikumu projekta 16.1.3. apakšpunkta izriet, ka atbalsts šajā apakšpunktā minētās atbalstāmās darbības ietvaros tiek sniegts ierobežotam personu lokam, proti, nodarbinātajiem vecumā no 45 gadiem, kas nodarbināti pie darba devējiem, kas tiks atlasīti šo noteikumu projekta  24.1.apakšpunktā noteiktajā kārtībā, lūdzam papildināt anotāciju ar izvērtējumu, vai minētās atbalstāmās darbības ir kvalificējamas kā komercdarbības atbalsts, atbilstoši Komercdarbības atbalsta kontroles likuma 5.pantā noteiktajām pazīmēm.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16.1.3. veicot obligātās veselības pārbaudes un atbilstoši šo noteikumu </w:t>
            </w:r>
            <w:r w:rsidR="00000000" w:rsidRPr="00000000" w:rsidDel="00000000">
              <w:rPr>
                <w:rtl w:val="0"/>
              </w:rPr>
              <w:t xml:space="preserve">16.1.1. </w:t>
            </w:r>
            <w:r w:rsidR="00000000" w:rsidRPr="00000000" w:rsidDel="00000000">
              <w:rPr>
                <w:rtl w:val="0"/>
              </w:rPr>
              <w:t xml:space="preserve">apakšpunktā</w:t>
            </w:r>
            <w:r w:rsidR="00000000" w:rsidRPr="00000000" w:rsidDel="00000000">
              <w:rPr>
                <w:rtl w:val="0"/>
              </w:rPr>
              <w:t xml:space="preserve"> minētajā katalogā par veselības veicināšanas un uzlabošanas pasākumiem noteiktajam iesaistot veselības uzlabošanas pasākumos šo noteikumu </w:t>
            </w:r>
            <w:r w:rsidR="00000000" w:rsidRPr="00000000" w:rsidDel="00000000">
              <w:rPr>
                <w:rtl w:val="0"/>
              </w:rPr>
              <w:t xml:space="preserve">3.1. </w:t>
            </w:r>
            <w:r w:rsidR="00000000" w:rsidRPr="00000000" w:rsidDel="00000000">
              <w:rPr>
                <w:rtl w:val="0"/>
              </w:rPr>
              <w:t xml:space="preserve">apakšpunktā</w:t>
            </w:r>
            <w:r w:rsidR="00000000" w:rsidRPr="00000000" w:rsidDel="00000000">
              <w:rPr>
                <w:rtl w:val="0"/>
              </w:rPr>
              <w:t xml:space="preserve"> minētos nodarbinātos vecumā no 45 gadiem;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18.2.4.1. darba vietas pielāgošanai, nepārsniedzot 1000 </w:t>
            </w:r>
            <w:r w:rsidR="00000000" w:rsidRPr="00000000" w:rsidDel="00000000">
              <w:rPr>
                <w:i w:val="1"/>
                <w:rtl w:val="0"/>
              </w:rPr>
              <w:t xml:space="preserve">euro</w:t>
            </w:r>
            <w:r w:rsidR="00000000" w:rsidRPr="00000000" w:rsidDel="00000000">
              <w:rPr>
                <w:rtl w:val="0"/>
              </w:rPr>
              <w:t xml:space="preserve"> par vienu darba vietu šo noteikumu </w:t>
            </w:r>
            <w:r w:rsidR="00000000" w:rsidRPr="00000000" w:rsidDel="00000000">
              <w:rPr>
                <w:rtl w:val="0"/>
              </w:rPr>
              <w:t xml:space="preserve">16.1.4. </w:t>
            </w:r>
            <w:r w:rsidR="00000000" w:rsidRPr="00000000" w:rsidDel="00000000">
              <w:rPr>
                <w:rtl w:val="0"/>
              </w:rPr>
              <w:t xml:space="preserve">apakšpunktā</w:t>
            </w:r>
            <w:r w:rsidR="00000000" w:rsidRPr="00000000" w:rsidDel="00000000">
              <w:rPr>
                <w:rtl w:val="0"/>
              </w:rPr>
              <w:t xml:space="preserve"> atbalstāmās darbības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noteikumu projekta 18.2.4.1., 18.2.4.2. un 18.2.5. apakšpunktos norādītās likmes ir izrietošas no nacionālajiem normatīvajiem aktiem vai arī tās ir nozares ministrijas nodefinētas vienības? Vēršam uzmanību, ka pirmsšķietami, norādītās likmes būtu jāiestrādā vienkāršoto izmaksu metodikā kā vienas vienības izmaksas, lai gūtu pārliecību par izmantoto likmju ticamību un kvalitāti.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MK noteikumu projekta 18.2.4.1. un 18.2.4.2. apakšpunktos norādītie likmes griesti ir noteikti atbilstoši līdzvērtīgam atbalstam, kas paredzēts 2011. gada 25. janvāra MK noteikumos Nr. 75 “Noteikumi par aktīvo nodarbinātības pasākumu un preventīvo bezdarba samazināšanas pasākumu organizēšanas un finansēšanas kārtību un pasākumu īstenotāju izvēles principiem” (turpmāk – MK noteikumi Nr. 75) (43.2., 88.3., 109.13, 109.28, 121.4. un 134.4. apakšpunkts). MK noteikumu projekta 18.2.4.2. apakšpunkta vērtība noteikta, balstoties uz pieņēmumu, ka darba procesu uzlabošana varētu atteikties vidēji uz 3 darba vietām uzņēmumā (1 000 euro kompensācijas griesti x indikatīvi 3 darba vietas). Rīgas Stradiņa universitātes aģentūra “Darba drošības un vides veselības institūts” (turpmāk – DDVVI) veiks padziļinātu izvērtējumu un darba devēji varēs iegādāties tikai tos kolektīvos un individuālos aizsardzības līdzekļus, kas būs iekļauti DDVVI katalogā.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18.2.5. apakšpunktā minētā maksimālā atbalsta vērtība noteikta, balstoties uz 2016. gada 2. augusta MK noteikumos Nr. 504 “Darbības programmas “Izaugsme un nodarbinātība” 7.3.2. specifiskā atbalsta mērķa “Paildzināt gados vecāku nodarbināto darbspēju saglabāšanu un nodarbinātību” īstenošanas noteikumi” iekļauto vērtību līdzvērtīgiem pasākumiem (MK noteikumu projekta 18.2.3.1 apakšpunkts), kas ir reizināta ar CSP inflācijas koeficientu izdevumiem veselības nozarē (2015.-2024.gadā; koeficients ir noapaļots uz augšu līdz apaļam skaitam) (250 euro x 50% = 500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vēršam uzmanību, ka MK noteikumu projektā ir atrunāti paredzētās kompensācijas griesti un izdevumi tiks segti, balstoties uz faktiskajām izmaksām un izdevumus apliecinošiem dokumentiem, kurus iesniegs darba devēji vai nodarbinātas personas Nodarbinātības valsts aģentūrai (turpmāk – NVA) (nepārprotamībai ir precizēta MK noteikumu projekta anotācija, atrunājot, ka šos izdevumus sedz, balstoties uz izdevumus pamatojošajiem dokumentiem).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18.2.4.1. darba vietas pielāgošanai, tai skaitā darba vietas aprīkojuma piegādei un uzstādīšanai, nepārsniedzot 1000 </w:t>
            </w:r>
            <w:r w:rsidR="00000000" w:rsidRPr="00000000" w:rsidDel="00000000">
              <w:rPr>
                <w:i w:val="1"/>
                <w:rtl w:val="0"/>
              </w:rPr>
              <w:t xml:space="preserve">euro</w:t>
            </w:r>
            <w:r w:rsidR="00000000" w:rsidRPr="00000000" w:rsidDel="00000000">
              <w:rPr>
                <w:rtl w:val="0"/>
              </w:rPr>
              <w:t xml:space="preserve"> par vienu darba vietu šo noteikumu </w:t>
            </w:r>
            <w:r w:rsidR="00000000" w:rsidRPr="00000000" w:rsidDel="00000000">
              <w:rPr>
                <w:rtl w:val="0"/>
              </w:rPr>
              <w:t xml:space="preserve">16.1.4. </w:t>
            </w:r>
            <w:r w:rsidR="00000000" w:rsidRPr="00000000" w:rsidDel="00000000">
              <w:rPr>
                <w:rtl w:val="0"/>
              </w:rPr>
              <w:t xml:space="preserve">apakšpunktā</w:t>
            </w:r>
            <w:r w:rsidR="00000000" w:rsidRPr="00000000" w:rsidDel="00000000">
              <w:rPr>
                <w:rtl w:val="0"/>
              </w:rPr>
              <w:t xml:space="preserve"> atbalstāmās darbības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28.8. izstrādā iekšējās kontroles sistēmu, iekšējo kārtību, lai novērstu interešu konflikta, krāpšanas, korupcijas risku un dubultā finansējuma risku;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projekta 24.punkts paredz, ka tiek atlasīti darba devēji un saskaņā ar 18.2.4. apakšpunktu tiem tiek piešķirtas dotācijas, finansējuma saņēmējam ir saistošas gan Ministru kabineta 2017. gada 17. oktobra noteikumu Nr. 630 “Noteikumi par iekšējās kontroles sistēmas pamatprasībām korupcijas un interešu konflikta riska novēršanai publiskas personas institūcijā”, gan Komisijas regulas Nr. 2018/1046  61. panta prasības attiecībā uz korupcijas un interešu konflikta novēršanu. Lai nodrošinātu nepieciešamo prasību izpildi, lūdzam noteikumu projekta 28.8.punktu izteikt šādā redakcijā (vai izteikt jaunā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saņēmējam ir pienākums līdz projekta iesnieguma iesniegšanai izstrādāt iekšējās kontroles sistēmu korupcijas un interešu konflikta riska novēršanai publiskas personas institūcijā atbilstoši Ministru kabineta 2017. gada 17. oktobra noteikumu Nr. 630 “Noteikumi par iekšējās kontroles sistēmas pamatprasībām korupcijas un interešu konflikta riska novēršanai publiskas personas institūcijā” prasībām, kas ietver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pasākumus interešu konflikta riska kontrolei atbalsta piešķiršanas procedūrā un publiskajos iepirkumos (preventīvus pasākumus un konstatēšanas pasākumus interešu konflikta riska kontrolei, t. sk. paziņošanas procedūru, labošanas pasākumus) tai skaitā ietverot informāciju par interešu konflikta novēršanu saskaņā ar Eiropas Parlamenta un Padomes 2018. gada 18. jūlija Regulas (ES, Euratom) 2018/1046 (2018. gada 18. jūlijs) par finanšu noteikumiem, ko piemēro Savienības vispārējam budžetam, ar kuru groza Regulas (ES) Nr. 1296/2013, (ES) Nr. 1301/2013, (ES) Nr. 1303/2013, (ES) Nr. 1304/2013, (ES) Nr. 1309/2013, (ES) Nr. 1316/2013, (ES) Nr. 223/2014, (ES) Nr. 283/2014 un Lēmumu Nr. 541/2014/ES un atceļ Regulu (ES, Euratom) Nr. 966/2012 Komisijas regulas Nr. 2018/1046  (turpmāk – Finanšu regula) 61.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krāpšanas un korupcijas risku novēršanas mehānismus;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iekšējās informācijas aprites un komunikācijas pasākumus par interešu konflikta, krāpšanas un korupcijas riska novēršanu;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ētikas kodeksu;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kārtību, kā darbiniekiem ir jārīkojas gadījumā, ja tie vēlas ziņot par iespējamiem pārkāpumiem (tai skaitā iespējamām koruptīvām darbībām), ietverot pasākumus, lai nodrošinātu ziņotāja anonimitāti un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pasākumus aizliegto vienošanos riska kontrolei;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dubultā finansējuma novēršanas mehānismu pret citiem finansēšanas avotiem, tai skaitā pret Eiropas Savienības kohēzijas politikas programmu 2021.–2027.gadam,  Eiropas Savienības struktūrfondu un Kohēzijas fonda 2014.–2020.gada plānošanas perioda darbības programmu "Izaugsme un nodarbinātība" un citiem ārvalstu finanšu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trauksmes celšanas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procedūru disciplināratbildības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ziņošanas mehānismu kompetentajām iestādēm par potenciāliem administratīviem vai kriminālpārkāpumiem.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MK noteikumu projekta 28. punktā noteiktās prasības attiecībā uz interešu konflikta, krāpšanas, korupcijas risku un dubultā finansējuma risku.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uzkrāj, uzskaita un iesniedz sadarbības iestādē informāciju par atbalstu saņēmušām šo noteikumu </w:t>
            </w:r>
            <w:r w:rsidR="00000000" w:rsidRPr="00000000" w:rsidDel="00000000">
              <w:rPr>
                <w:rtl w:val="0"/>
              </w:rPr>
              <w:t xml:space="preserve">3.1.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3.4. </w:t>
            </w:r>
            <w:r w:rsidR="00000000" w:rsidRPr="00000000" w:rsidDel="00000000">
              <w:rPr>
                <w:rtl w:val="0"/>
              </w:rPr>
              <w:t xml:space="preserve">apakšpunktā</w:t>
            </w:r>
            <w:r w:rsidR="00000000" w:rsidRPr="00000000" w:rsidDel="00000000">
              <w:rPr>
                <w:rtl w:val="0"/>
              </w:rPr>
              <w:t xml:space="preserve"> minētajām personām atbilstoši regulas Nr. 2021/1057 1. pielikumam un Ministru kabineta 2023. gada 21. marta noteikumu Nr. 135 "Eiropas Savienības fondu projektu pārbaužu veikšanas kārtība 2021.–2027. gada plānošanas periodā" 1. pielikumam;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atsauci uz 3.4. apakšpunktā minētajām personām, ņemot vērā, ka 4.3.3.5. pasākuma mērķis ir uzlabot nodarbināto, jo īpaši darbspēju zaudēšanas riskam pakļauto un gados vecāko nodarbināto personu, darba vidi un darba apstākļus, veicināt viņu iesaisti veselības veicināšanas un uzlabošanas pasākumos un projekta ietvaros paredzēti atbalsta pasākumi tieši šai mērķa grupai, savukārt profesionālās izglītības iestādēs studējošās personas ir uzskatāmas par projekta netiešo mērķa grupu, kas negūs tiešu labumu no ESF Plus atbalsta, t.sk., netiks uzskaitītas 4.1. apakšpunktā minētajā programmas iznākuma rādītājā "nodarbinātas personas, tostarp pašnodarbinātas personas - 2477".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uzkrāj, uzskaita un iesniedz sadarbības iestādē informāciju par atbalstu saņēmušām šo noteikumu </w:t>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minētajām personām atbilstoši regulas Nr. 2021/1057 1. pielikumam un Ministru kabineta 2023. gada 21. marta noteikumu Nr. 135 "Eiropas Savienības fondu projektu pārbaužu veikšanas kārtība 2021.–2027. gada plānošanas periodā" 1. pielikumam;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projekta 29.2.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uzkrāj, uzskaita un iesniedz sadarbības iestādē informāciju par atbalstu saņēmušām šo noteikumu </w:t>
            </w:r>
            <w:r w:rsidR="00000000" w:rsidRPr="00000000" w:rsidDel="00000000">
              <w:rPr>
                <w:rtl w:val="0"/>
              </w:rPr>
              <w:t xml:space="preserve">3.1. </w:t>
            </w:r>
            <w:r w:rsidR="00000000" w:rsidRPr="00000000" w:rsidDel="00000000">
              <w:rPr>
                <w:rtl w:val="0"/>
              </w:rPr>
              <w:t xml:space="preserve">​</w:t>
            </w:r>
            <w:r w:rsidR="00000000" w:rsidRPr="00000000" w:rsidDel="00000000">
              <w:rPr>
                <w:rtl w:val="0"/>
              </w:rPr>
              <w:t xml:space="preserve">apakšpunktā</w:t>
            </w:r>
            <w:r w:rsidR="00000000" w:rsidRPr="00000000" w:rsidDel="00000000">
              <w:rPr>
                <w:rtl w:val="0"/>
              </w:rPr>
              <w:t xml:space="preserve"> minētajām personām atbilstoši regulas 2021/1057 1. pielikumam un Ministru kabineta 2023. gada 21. marta noteikumu Nr. 135 "Eiropas Savienības fondu projektu pārbaužu veikšanas kārtība 2021.—2027. gada plānošanas periodā" 1. pielikumam;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Ar komercdarbības atbalsta saņemšanu saistītie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V sadaļā “Ar komercdarbības atbalsta saņemšanu saistītie nosacījumi” svītrot atsauci uz Komisijas 2013. gada 18. decembra Regulu (ES) 1408/2013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lauksaimniecības nozarē, jo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2.panta 9.apakšpunkta d) punktu, divpakāpju projektā finansējuma saņēmējs nevar piešķirt atbalstu gala labuma guvējam ar minēto regulu.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V sadaļa un MK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Ar komercdarbības atbalsta saņemšanu saistītie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Ar komercdarbības atbalsta saņemšanu saistītie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 atbalsta saņēmējs atbalsta sniedzējam iesniedz de minimis atbalsta veidlapas izdruku vai norāda sistēmā izveidotās un apstiprinātās pretendenta veidlapas identifikācijas numuru atbilstoši Ministru kabineta 2018. gada 21. novembra noteikumu Nr. 715 "Noteikumi par de minimis atbalsta uzskaites un piešķiršanas kārtību un de minimis atbalsta uzskaites veidlapu paraugiem" 21.punktā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papildināts ar 33.2.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Ar komercdarbības atbalsta saņemšanu saistītie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Finanšu atbalstu (turpmāk – </w:t>
            </w:r>
            <w:r w:rsidR="00000000" w:rsidRPr="00000000" w:rsidDel="00000000">
              <w:rPr>
                <w:i w:val="1"/>
                <w:rtl w:val="0"/>
              </w:rPr>
              <w:t xml:space="preserve">de minimis</w:t>
            </w:r>
            <w:r w:rsidR="00000000" w:rsidRPr="00000000" w:rsidDel="00000000">
              <w:rPr>
                <w:rtl w:val="0"/>
              </w:rPr>
              <w:t xml:space="preserve"> atbalsts) šo noteikumu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minētajai mērķa grupai, kas ir saimnieciskās darbības veicēji (turpmāk – atbalsta saņēmējs), par šo noteikumu </w:t>
            </w:r>
            <w:r w:rsidR="00000000" w:rsidRPr="00000000" w:rsidDel="00000000">
              <w:rPr>
                <w:rtl w:val="0"/>
              </w:rPr>
              <w:t xml:space="preserve">18.2.4. </w:t>
            </w:r>
            <w:r w:rsidR="00000000" w:rsidRPr="00000000" w:rsidDel="00000000">
              <w:rPr>
                <w:rtl w:val="0"/>
              </w:rPr>
              <w:t xml:space="preserve">apakšpunktā</w:t>
            </w:r>
            <w:r w:rsidR="00000000" w:rsidRPr="00000000" w:rsidDel="00000000">
              <w:rPr>
                <w:rtl w:val="0"/>
              </w:rPr>
              <w:t xml:space="preserve"> minētajām izmaksām finansējuma saņēmējs (turpmāk – atbalsta sniedzējs) sniedz saskaņā ar Komisijas 2023. gada 13. decembra regulu (ES) 2023/2831 par Līguma par ES darbību 107. un 108. panta piemērošanu </w:t>
            </w:r>
            <w:r w:rsidR="00000000" w:rsidRPr="00000000" w:rsidDel="00000000">
              <w:rPr>
                <w:i w:val="1"/>
                <w:rtl w:val="0"/>
              </w:rPr>
              <w:t xml:space="preserve">de minimis </w:t>
            </w:r>
            <w:r w:rsidR="00000000" w:rsidRPr="00000000" w:rsidDel="00000000">
              <w:rPr>
                <w:rtl w:val="0"/>
              </w:rPr>
              <w:t xml:space="preserve">atbalstam (ES Oficiālais Vēstnesis, 2023. gada 15. decembris, Nr. L 2023/2831) (turpmāk – regula 2023/2831), Komisijas 2014. gada 27. jūnija Regulu (EK) Nr. 717/2014 par Līguma par ES darbību 107. un 108. panta piemērošanu </w:t>
            </w:r>
            <w:r w:rsidR="00000000" w:rsidRPr="00000000" w:rsidDel="00000000">
              <w:rPr>
                <w:i w:val="1"/>
                <w:rtl w:val="0"/>
              </w:rPr>
              <w:t xml:space="preserve">de minimis</w:t>
            </w:r>
            <w:r w:rsidR="00000000" w:rsidRPr="00000000" w:rsidDel="00000000">
              <w:rPr>
                <w:rtl w:val="0"/>
              </w:rPr>
              <w:t xml:space="preserve"> atbalstam zvejniecības un akvakultūras nozarē (ES Oficiālais Vēstnesis, 2014. gada 28. jūnijs, Nr. L 190) (turpmāk – regula 717/2014) attiecībā uz zivsaimniecības uzņēmumiem, kas darbojas saskaņā ar Eiropas Parlamenta un Padomes 2013. gada 11. decembra Regulu (ES) Nr. 1379/2013 par zvejas un akvakultūras produktu tirgu kopīgo organizāciju (turpmāk – regula 1379/2013) un ar ko groza Padomes Regulas (EK) Nr. 1184/2006 un (EK) Nr. 1224/2009 un atceļ Padomes Regulu (EK) Nr. 104/2000 (ES Oficiālais Vēstnesis, 2013. gada 28. decembris, Nr. L 354), vai Komisijas 2013. gada 18. decembra Regulu (ES) Nr. 1408/2013 par Līguma par ES darbību 107. un 108. panta piemērošanu </w:t>
            </w:r>
            <w:r w:rsidR="00000000" w:rsidRPr="00000000" w:rsidDel="00000000">
              <w:rPr>
                <w:i w:val="1"/>
                <w:rtl w:val="0"/>
              </w:rPr>
              <w:t xml:space="preserve">de minimis</w:t>
            </w:r>
            <w:r w:rsidR="00000000" w:rsidRPr="00000000" w:rsidDel="00000000">
              <w:rPr>
                <w:rtl w:val="0"/>
              </w:rPr>
              <w:t xml:space="preserve"> atbalstam lauksaimniecības nozarē (ES Oficiālais Vēstnesis, 2013. gada 24. decembris, Nr. L 352) (turpmāk – regula 1408/2013) un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33.punktā noteikts, ka </w:t>
            </w:r>
            <w:r w:rsidR="00000000" w:rsidRPr="00000000" w:rsidDel="00000000">
              <w:rPr>
                <w:i w:val="1"/>
                <w:rtl w:val="0"/>
              </w:rPr>
              <w:t xml:space="preserve">de minimis</w:t>
            </w:r>
            <w:r w:rsidR="00000000" w:rsidRPr="00000000" w:rsidDel="00000000">
              <w:rPr>
                <w:rtl w:val="0"/>
              </w:rPr>
              <w:t xml:space="preserve"> atbalstu piemēro izmaksām, kas minētas noteikumu 18.2.4.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18.2.4. apakšpunktā uzskaitīta dotācija gan darba vietas pielāgošanai, tai skaitā darba vietas aprīkojuma piegādei un uzstādīšanai, gan darba procesu uzlabošanai, gan arī kompensācija obligāto veselības pārbaužu (turpmāk – OVP) veikšanai. Savukārt, noteikumu 18.2.5. apakšpunktā kā attiecināmās izmaksas minēta kompensācija mērķa grupai jeb nodarbinātajiem vecumā no 45 gadiem dalībai veselības uzlabošanas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ietverts vērtējums komercdarbības atbalsta kontroles kontekstā, kas ir pretrunā noteikumu projektam, jo argumentēts, ka 18.2.4. apakšpunktā minētās obligātās veselības pārbaužu veikšanas kompensācijai nav jāpiemēro </w:t>
            </w:r>
            <w:r w:rsidR="00000000" w:rsidRPr="00000000" w:rsidDel="00000000">
              <w:rPr>
                <w:i w:val="1"/>
                <w:rtl w:val="0"/>
              </w:rPr>
              <w:t xml:space="preserve">de minimis </w:t>
            </w:r>
            <w:r w:rsidR="00000000" w:rsidRPr="00000000" w:rsidDel="00000000">
              <w:rPr>
                <w:rtl w:val="0"/>
              </w:rPr>
              <w:t xml:space="preserve">atbalsta regulējums. Pasākuma kontekstā redzams, ka ir noteikti limiti kompensācijai, taču skaidrojam, ka komercdarbības atbalsta pazīmju analīzes kontekstā tiem nav nozīmes, jo ir jāsaprot kopumā, vai pasākumā vienlaikus izpildās visas komercdarbības atbalsta pazīmes.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ietverto analīzi, novēršot pretrunu ar noteikumu projektā paredzēto un korekti atspoguļojot argumentus valsts atbalsta pazīmju vērtēšanai, lai atbilstu noteikumu projekta 33.punktam. Tā kā OVP netiek segtas ikvienam mērķa grupas indivīdam, bet tikai tiem, kas nodarbināti pie konkrētiem darba devējiem, pasākums ir komercdarības atbalsts un attiecīgi jāpiemēro </w:t>
            </w:r>
            <w:r w:rsidR="00000000" w:rsidRPr="00000000" w:rsidDel="00000000">
              <w:rPr>
                <w:i w:val="1"/>
                <w:rtl w:val="0"/>
              </w:rPr>
              <w:t xml:space="preserve">de minimis</w:t>
            </w:r>
            <w:r w:rsidR="00000000" w:rsidRPr="00000000" w:rsidDel="00000000">
              <w:rPr>
                <w:rtl w:val="0"/>
              </w:rPr>
              <w:t xml:space="preserve">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Finanšu atbalstu (turpmāk – </w:t>
            </w:r>
            <w:r w:rsidR="00000000" w:rsidRPr="00000000" w:rsidDel="00000000">
              <w:rPr>
                <w:i w:val="1"/>
                <w:rtl w:val="0"/>
              </w:rPr>
              <w:t xml:space="preserve">de minimis</w:t>
            </w:r>
            <w:r w:rsidR="00000000" w:rsidRPr="00000000" w:rsidDel="00000000">
              <w:rPr>
                <w:rtl w:val="0"/>
              </w:rPr>
              <w:t xml:space="preserve"> atbalsts) šo noteikumu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minētajai mērķa grupai, kas ir saimnieciskās darbības veicēji (turpmāk – atbalsta saņēmējs), par šo noteikumu </w:t>
            </w:r>
            <w:r w:rsidR="00000000" w:rsidRPr="00000000" w:rsidDel="00000000">
              <w:rPr>
                <w:rtl w:val="0"/>
              </w:rPr>
              <w:t xml:space="preserve">18.2.4. </w:t>
            </w:r>
            <w:r w:rsidR="00000000" w:rsidRPr="00000000" w:rsidDel="00000000">
              <w:rPr>
                <w:rtl w:val="0"/>
              </w:rPr>
              <w:t xml:space="preserve">apakšpunktā</w:t>
            </w:r>
            <w:r w:rsidR="00000000" w:rsidRPr="00000000" w:rsidDel="00000000">
              <w:rPr>
                <w:rtl w:val="0"/>
              </w:rPr>
              <w:t xml:space="preserve"> minētajām izmaksām finansējuma saņēmējs (turpmāk – atbalsta sniedzējs) sniedz saskaņā ar Komisijas 2023. gada 13. decembra regulu (ES) 2023/2831 par Līguma par ES darbību 107. un 108. panta piemērošanu </w:t>
            </w:r>
            <w:r w:rsidR="00000000" w:rsidRPr="00000000" w:rsidDel="00000000">
              <w:rPr>
                <w:i w:val="1"/>
                <w:rtl w:val="0"/>
              </w:rPr>
              <w:t xml:space="preserve">de minimis </w:t>
            </w:r>
            <w:r w:rsidR="00000000" w:rsidRPr="00000000" w:rsidDel="00000000">
              <w:rPr>
                <w:rtl w:val="0"/>
              </w:rPr>
              <w:t xml:space="preserve">atbalstam (ES Oficiālais Vēstnesis, 2023. gada 15. decembris, Nr. L 2023/2831) (turpmāk – regula 2023/2831), Komisijas 2014. gada 27. jūnija Regulu (EK) Nr. 717/2014 par Līguma par ES darbību 107. un 108. panta piemērošanu </w:t>
            </w:r>
            <w:r w:rsidR="00000000" w:rsidRPr="00000000" w:rsidDel="00000000">
              <w:rPr>
                <w:i w:val="1"/>
                <w:rtl w:val="0"/>
              </w:rPr>
              <w:t xml:space="preserve">de minimis</w:t>
            </w:r>
            <w:r w:rsidR="00000000" w:rsidRPr="00000000" w:rsidDel="00000000">
              <w:rPr>
                <w:rtl w:val="0"/>
              </w:rPr>
              <w:t xml:space="preserve"> atbalstam zvejniecības un akvakultūras nozarē (ES Oficiālais Vēstnesis, 2014. gada 28. jūnijs, Nr. L 190) (turpmāk – regula 717/2014) attiecībā uz zivsaimniecības uzņēmumiem, kas darbojas saskaņā ar Eiropas Parlamenta un Padomes 2013. gada 11. decembra Regulu (ES) Nr. 1379/2013 par zvejas un akvakultūras produktu tirgu kopīgo organizāciju un ar ko groza Padomes Regulas (EK) Nr. 1184/2006 un (EK) Nr. 1224/2009 un atceļ Padomes Regulu (EK) Nr. 104/2000 (ES Oficiālais Vēstnesis, 2013. gada 28. decembris, Nr. L 354) (turpmāk – regula 1379/2013) un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Finanšu atbalstu (turpmāk – </w:t>
            </w:r>
            <w:r w:rsidR="00000000" w:rsidRPr="00000000" w:rsidDel="00000000">
              <w:rPr>
                <w:i w:val="1"/>
                <w:rtl w:val="0"/>
              </w:rPr>
              <w:t xml:space="preserve">de minimis</w:t>
            </w:r>
            <w:r w:rsidR="00000000" w:rsidRPr="00000000" w:rsidDel="00000000">
              <w:rPr>
                <w:rtl w:val="0"/>
              </w:rPr>
              <w:t xml:space="preserve"> atbalsts) šo noteikumu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minētajai mērķa grupai, kas ir saimnieciskās darbības veicēji (turpmāk – atbalsta saņēmējs), par šo noteikumu </w:t>
            </w:r>
            <w:r w:rsidR="00000000" w:rsidRPr="00000000" w:rsidDel="00000000">
              <w:rPr>
                <w:rtl w:val="0"/>
              </w:rPr>
              <w:t xml:space="preserve">18.2.4. </w:t>
            </w:r>
            <w:r w:rsidR="00000000" w:rsidRPr="00000000" w:rsidDel="00000000">
              <w:rPr>
                <w:rtl w:val="0"/>
              </w:rPr>
              <w:t xml:space="preserve">apakšpunktā</w:t>
            </w:r>
            <w:r w:rsidR="00000000" w:rsidRPr="00000000" w:rsidDel="00000000">
              <w:rPr>
                <w:rtl w:val="0"/>
              </w:rPr>
              <w:t xml:space="preserve"> minētajām izmaksām finansējuma saņēmējs (turpmāk – atbalsta sniedzējs) sniedz saskaņā ar Komisijas 2023. gada 13. decembra regulu (ES) 2023/2831 par Līguma par ES darbību 107. un 108. panta piemērošanu </w:t>
            </w:r>
            <w:r w:rsidR="00000000" w:rsidRPr="00000000" w:rsidDel="00000000">
              <w:rPr>
                <w:i w:val="1"/>
                <w:rtl w:val="0"/>
              </w:rPr>
              <w:t xml:space="preserve">de minimis</w:t>
            </w:r>
            <w:r w:rsidR="00000000" w:rsidRPr="00000000" w:rsidDel="00000000">
              <w:rPr>
                <w:rtl w:val="0"/>
              </w:rPr>
              <w:t xml:space="preserve"> atbalstam (ES Oficiālais Vēstnesis, 2023. gada 15. decembris, Nr. L 2023/2831) (turpmāk – regula 2023/2831), Komisijas 2014. gada 27. jūnija Regulu (EK) Nr. 717/2014 par Līguma par ES darbību 107. un 108. panta piemērošanu </w:t>
            </w:r>
            <w:r w:rsidR="00000000" w:rsidRPr="00000000" w:rsidDel="00000000">
              <w:rPr>
                <w:i w:val="1"/>
                <w:rtl w:val="0"/>
              </w:rPr>
              <w:t xml:space="preserve">de minimis</w:t>
            </w:r>
            <w:r w:rsidR="00000000" w:rsidRPr="00000000" w:rsidDel="00000000">
              <w:rPr>
                <w:rtl w:val="0"/>
              </w:rPr>
              <w:t xml:space="preserve"> atbalstam zvejniecības un akvakultūras nozarē (ES Oficiālais Vēstnesis, 2014. gada 28. jūnijs, Nr. L 190) (turpmāk – regula 717/2014) attiecībā uz zivsaimniecības uzņēmumiem, kas darbojas saskaņā ar Eiropas Parlamenta un Padomes 2013. gada 11. decembra Regulu (ES) Nr. 1379/2013 par zvejas un akvakultūras produktu tirgu kopīgo organizāciju (turpmāk – regula 1379/2013) un ar ko groza Padomes Regulas (EK) Nr. 1184/2006 un (EK) Nr. 1224/2009 un atceļ Padomes Regulu (EK) Nr. 104/2000 (ES Oficiālais Vēstnesis, 2013. gada 28. decembris, Nr. L 354), vai Komisijas 2013. gada 18. decembra Regulu (ES) Nr. 1408/2013 par Līguma par ES darbību 107. un 108. panta piemērošanu </w:t>
            </w:r>
            <w:r w:rsidR="00000000" w:rsidRPr="00000000" w:rsidDel="00000000">
              <w:rPr>
                <w:i w:val="1"/>
                <w:rtl w:val="0"/>
              </w:rPr>
              <w:t xml:space="preserve">de minimis</w:t>
            </w:r>
            <w:r w:rsidR="00000000" w:rsidRPr="00000000" w:rsidDel="00000000">
              <w:rPr>
                <w:rtl w:val="0"/>
              </w:rPr>
              <w:t xml:space="preserve"> atbalstam lauksaimniecības nozarē (ES Oficiālais Vēstnesis, 2013. gada 24. decembris, Nr. L 352) (turpmāk – regula 1408/2013).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pasākumā plānots sniegt finansiālu atbalstu arī sadarbības partneriem, kas noteikti noteikumu projekta 13.punktā un pirmsšķietami tas varētu kvalificēties kā komercdarbības atbalsts, lūdzam noteikumu projektu papildināt ar punktu, kas paredz, ka atbalsta sniedzējs izvērtē sadarbības partnera atbilstību </w:t>
            </w:r>
            <w:r w:rsidR="00000000" w:rsidRPr="00000000" w:rsidDel="00000000">
              <w:rPr>
                <w:i w:val="1"/>
                <w:rtl w:val="0"/>
              </w:rPr>
              <w:t xml:space="preserve">de minimis </w:t>
            </w:r>
            <w:r w:rsidR="00000000" w:rsidRPr="00000000" w:rsidDel="00000000">
              <w:rPr>
                <w:rtl w:val="0"/>
              </w:rPr>
              <w:t xml:space="preserve">atbalsta saņemšanai un sniedz </w:t>
            </w:r>
            <w:r w:rsidR="00000000" w:rsidRPr="00000000" w:rsidDel="00000000">
              <w:rPr>
                <w:i w:val="1"/>
                <w:rtl w:val="0"/>
              </w:rPr>
              <w:t xml:space="preserve">de minimis</w:t>
            </w:r>
            <w:r w:rsidR="00000000" w:rsidRPr="00000000" w:rsidDel="00000000">
              <w:rPr>
                <w:rtl w:val="0"/>
              </w:rPr>
              <w:t xml:space="preserve"> atbalstu saskaņā ar Komisijas 2023.gada 13.decembra Regulu (ES ) Nr.2023/2831par Līguma par Eiropas Savienības darbību 107. un 108.panta piemērošanu </w:t>
            </w:r>
            <w:r w:rsidR="00000000" w:rsidRPr="00000000" w:rsidDel="00000000">
              <w:rPr>
                <w:i w:val="1"/>
                <w:rtl w:val="0"/>
              </w:rPr>
              <w:t xml:space="preserve">de minimis</w:t>
            </w:r>
            <w:r w:rsidR="00000000" w:rsidRPr="00000000" w:rsidDel="00000000">
              <w:rPr>
                <w:rtl w:val="0"/>
              </w:rPr>
              <w:t xml:space="preserve"> atbalstam (turpmāk – regula Nr. 2023/2831), ievērojot visus tajā esošos nosacījumus. Gadījumā, ja programmas izstrādātājs secinājis, ka sadarbības partneriem sniegtais atbalsts nekvalificējas kā komercdarbības atbalsts, lūdzam papildināt anotāciju ar izvērtējumu, sniedzot argumentus, skaidrojot kā tieši sadarbības partneri iesaistās pasākumā.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anotācijas 1.3. sadaļa, skaidrojot, ka sadarbības partneriem sniegtais atbalsts nekvalificējas kā komercdarbības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Finanšu atbalstu (turpmāk – </w:t>
            </w:r>
            <w:r w:rsidR="00000000" w:rsidRPr="00000000" w:rsidDel="00000000">
              <w:rPr>
                <w:i w:val="1"/>
                <w:rtl w:val="0"/>
              </w:rPr>
              <w:t xml:space="preserve">de minimis</w:t>
            </w:r>
            <w:r w:rsidR="00000000" w:rsidRPr="00000000" w:rsidDel="00000000">
              <w:rPr>
                <w:rtl w:val="0"/>
              </w:rPr>
              <w:t xml:space="preserve"> atbalsts) šo noteikumu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minētajai mērķa grupai, kas ir saimnieciskās darbības veicēji (turpmāk – atbalsta saņēmējs), par šo noteikumu </w:t>
            </w:r>
            <w:r w:rsidR="00000000" w:rsidRPr="00000000" w:rsidDel="00000000">
              <w:rPr>
                <w:rtl w:val="0"/>
              </w:rPr>
              <w:t xml:space="preserve">18.2.4. </w:t>
            </w:r>
            <w:r w:rsidR="00000000" w:rsidRPr="00000000" w:rsidDel="00000000">
              <w:rPr>
                <w:rtl w:val="0"/>
              </w:rPr>
              <w:t xml:space="preserve">apakšpunktā</w:t>
            </w:r>
            <w:r w:rsidR="00000000" w:rsidRPr="00000000" w:rsidDel="00000000">
              <w:rPr>
                <w:rtl w:val="0"/>
              </w:rPr>
              <w:t xml:space="preserve"> minētajām izmaksām finansējuma saņēmējs (turpmāk – atbalsta sniedzējs) sniedz saskaņā ar Komisijas 2023. gada 13. decembra regulu (ES) 2023/2831 par Līguma par ES darbību 107. un 108. panta piemērošanu </w:t>
            </w:r>
            <w:r w:rsidR="00000000" w:rsidRPr="00000000" w:rsidDel="00000000">
              <w:rPr>
                <w:i w:val="1"/>
                <w:rtl w:val="0"/>
              </w:rPr>
              <w:t xml:space="preserve">de minimis </w:t>
            </w:r>
            <w:r w:rsidR="00000000" w:rsidRPr="00000000" w:rsidDel="00000000">
              <w:rPr>
                <w:rtl w:val="0"/>
              </w:rPr>
              <w:t xml:space="preserve">atbalstam (ES Oficiālais Vēstnesis, 2023. gada 15. decembris, Nr. L 2023/2831) (turpmāk – regula 2023/2831), Komisijas 2014. gada 27. jūnija Regulu (EK) Nr. 717/2014 par Līguma par ES darbību 107. un 108. panta piemērošanu </w:t>
            </w:r>
            <w:r w:rsidR="00000000" w:rsidRPr="00000000" w:rsidDel="00000000">
              <w:rPr>
                <w:i w:val="1"/>
                <w:rtl w:val="0"/>
              </w:rPr>
              <w:t xml:space="preserve">de minimis</w:t>
            </w:r>
            <w:r w:rsidR="00000000" w:rsidRPr="00000000" w:rsidDel="00000000">
              <w:rPr>
                <w:rtl w:val="0"/>
              </w:rPr>
              <w:t xml:space="preserve"> atbalstam zvejniecības un akvakultūras nozarē (ES Oficiālais Vēstnesis, 2014. gada 28. jūnijs, Nr. L 190) (turpmāk – regula 717/2014) attiecībā uz zivsaimniecības uzņēmumiem, kas darbojas saskaņā ar Eiropas Parlamenta un Padomes 2013. gada 11. decembra Regulu (ES) Nr. 1379/2013 par zvejas un akvakultūras produktu tirgu kopīgo organizāciju un ar ko groza Padomes Regulas (EK) Nr. 1184/2006 un (EK) Nr. 1224/2009 un atceļ Padomes Regulu (EK) Nr. 104/2000 (ES Oficiālais Vēstnesis, 2013. gada 28. decembris, Nr. L 354) (turpmāk – regula 1379/2013) un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 </w:t>
            </w:r>
            <w:r w:rsidR="00000000" w:rsidRPr="00000000" w:rsidDel="00000000">
              <w:rPr>
                <w:i w:val="1"/>
                <w:rtl w:val="0"/>
              </w:rPr>
              <w:t xml:space="preserve">de minimis</w:t>
            </w:r>
            <w:r w:rsidR="00000000" w:rsidRPr="00000000" w:rsidDel="00000000">
              <w:rPr>
                <w:rtl w:val="0"/>
              </w:rPr>
              <w:t xml:space="preserve"> atbalstu piešķir, ievērojot regulas 2023/2831 1. panta 1. punktā minētos nozaru un darbības ierobežojumus;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gadījumā, ja uzņēmums veic darbības, kas minētas regulas Nr. 2023/2831 1.panta 1.punkta e un f apakšpunktos, ar nozaru izmaksu un darbību nošķiršanu nevar nodrošināt, ka attiecībā uz minētajām darbībām jautājums atrisināts. Ja uzņēmums veic darbības, kas minētas regulas Nr. 2023/2831 1.panta 1.punkta e un f apakšpunktos, atbalstu piešķirt nedrīkst.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33.1.punktā iekļauto nosacījumu, pievienojot jaunu teikumu, piemēram, šādā redakcijā: “Ja atbalsta pretendents veic darbības, kas minētas regulas Nr. 2023/2831 1.panta 1.punkta e) un f) apakšpunktos, atbalstu piešķirt nedrīkst.”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projekta ietvaros </w:t>
            </w:r>
            <w:r w:rsidR="00000000" w:rsidRPr="00000000" w:rsidDel="00000000">
              <w:rPr>
                <w:i w:val="1"/>
                <w:rtl w:val="0"/>
              </w:rPr>
              <w:t xml:space="preserve">de minimis</w:t>
            </w:r>
            <w:r w:rsidR="00000000" w:rsidRPr="00000000" w:rsidDel="00000000">
              <w:rPr>
                <w:rtl w:val="0"/>
              </w:rPr>
              <w:t xml:space="preserve"> atbalstu plānots sniegt ne tikai saskaņā ar regulu Nr. 2023/2831, bet arī ar Komisijas 2014. gada 27.jūnija Regulu Nr. 717/2014 par Līguma par Eiropas Savienības darbību 107. un 108.panta piemērošanu </w:t>
            </w:r>
            <w:r w:rsidR="00000000" w:rsidRPr="00000000" w:rsidDel="00000000">
              <w:rPr>
                <w:i w:val="1"/>
                <w:rtl w:val="0"/>
              </w:rPr>
              <w:t xml:space="preserve">de minimis</w:t>
            </w:r>
            <w:r w:rsidR="00000000" w:rsidRPr="00000000" w:rsidDel="00000000">
              <w:rPr>
                <w:rtl w:val="0"/>
              </w:rPr>
              <w:t xml:space="preserve"> atbalstam zvejniecības un akvakultūras nozarē (turpmāk – regula Nr. 717/2014) un Komisijas 2013.gada 18.decembra Regulu Nr. 1408/2013 par Līguma par Eiropas Savienības darbību 107. un 108.panta piemērošanu </w:t>
            </w:r>
            <w:r w:rsidR="00000000" w:rsidRPr="00000000" w:rsidDel="00000000">
              <w:rPr>
                <w:i w:val="1"/>
                <w:rtl w:val="0"/>
              </w:rPr>
              <w:t xml:space="preserve">de minimis</w:t>
            </w:r>
            <w:r w:rsidR="00000000" w:rsidRPr="00000000" w:rsidDel="00000000">
              <w:rPr>
                <w:rtl w:val="0"/>
              </w:rPr>
              <w:t xml:space="preserve"> atbalstam lauksaimniecības nozarē (turpmāk -regula Nr. 1408/2013), aicinām noteikumu projektu papildināt ar nosacījumu, ka, ja atbalstu sniedz saskaņā ar minētajam regulām, atbalsts netiek sniegts arī attiecīgi regulā Nr. 717/2014 un regulā Nr. 1408/2013 noteiktajām izslēgtajām nozarēm un darbībām.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projekta 33.1. apakšpunkts. Attiecībā uz nosacījumu - ja atbalsta pretendents veic darbības, kas minētas regulas Nr. 2023/2831 1.panta 1.punkta e) un f) apakšpunktos, atbalstu piešķirt nedrīkst, Labklājības ministrijas ieskatā tas jau izriet no regulējuma kas ietverts 33.1. apakšpunktā un noteikumu projekta 35.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 </w:t>
            </w:r>
            <w:r w:rsidR="00000000" w:rsidRPr="00000000" w:rsidDel="00000000">
              <w:rPr>
                <w:i w:val="1"/>
                <w:rtl w:val="0"/>
              </w:rPr>
              <w:t xml:space="preserve">de minimis </w:t>
            </w:r>
            <w:r w:rsidR="00000000" w:rsidRPr="00000000" w:rsidDel="00000000">
              <w:rPr>
                <w:rtl w:val="0"/>
              </w:rPr>
              <w:t xml:space="preserve">atbalstu piešķir, ievērojot regulas 2023/2831 1. panta 1. punktā un regulas 717/2014 1. panta 1. punktā minētos nozaru un darbības ierobežojumus;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pirms </w:t>
            </w:r>
            <w:r w:rsidR="00000000" w:rsidRPr="00000000" w:rsidDel="00000000">
              <w:rPr>
                <w:i w:val="1"/>
                <w:rtl w:val="0"/>
              </w:rPr>
              <w:t xml:space="preserve">de minimis</w:t>
            </w:r>
            <w:r w:rsidR="00000000" w:rsidRPr="00000000" w:rsidDel="00000000">
              <w:rPr>
                <w:rtl w:val="0"/>
              </w:rPr>
              <w:t xml:space="preserve"> atbalsta piešķiršanas atbalsta sniedzējs pārbauda, vai atbalsta saņēmējam minētais finanšu atbalsts nepalielina: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korekti tiek ievēroti 33.2.punktā noteiktie nosacījumi, lūdzam noteikumu projektu precizēt skaidri norādot, ka gadījumā, ja atbalstu piešķir ar regulu Nr. 2023/2831, atbalsta sniedzējs pārbauda, vai kopējais </w:t>
            </w:r>
            <w:r w:rsidR="00000000" w:rsidRPr="00000000" w:rsidDel="00000000">
              <w:rPr>
                <w:i w:val="1"/>
                <w:rtl w:val="0"/>
              </w:rPr>
              <w:t xml:space="preserve">de minimis </w:t>
            </w:r>
            <w:r w:rsidR="00000000" w:rsidRPr="00000000" w:rsidDel="00000000">
              <w:rPr>
                <w:rtl w:val="0"/>
              </w:rPr>
              <w:t xml:space="preserve">atbalsts nepārsniedz noteikumu projekta 33.2.2. apakšpunktā noteikto robežlielumu, savukārt, ja atbalstu piešķir ar regulu Nr. 717/2014 vai Nr. 1408/2013, atbalsta sniedzējs pārbauda, vai kopējais </w:t>
            </w:r>
            <w:r w:rsidR="00000000" w:rsidRPr="00000000" w:rsidDel="00000000">
              <w:rPr>
                <w:i w:val="1"/>
                <w:rtl w:val="0"/>
              </w:rPr>
              <w:t xml:space="preserve">de minimis</w:t>
            </w:r>
            <w:r w:rsidR="00000000" w:rsidRPr="00000000" w:rsidDel="00000000">
              <w:rPr>
                <w:rtl w:val="0"/>
              </w:rPr>
              <w:t xml:space="preserve"> atbalsts nepārsniedz noteikumu projekta 33.2.1. un 33.2.2. apakšpunktos noteikto robežlielumu, ievērojot 33.2.3. apakšpunktā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MK noteikumu projekta 33.3., 33.3.1., 33.3.2. un 33.3.3. apakšpunktu (iepriekš 33.2., 33.2.1., 33.2.2. un 33.2.3. apakšpunktu) redakcijas.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pieteikumam </w:t>
            </w:r>
            <w:r w:rsidR="00000000" w:rsidRPr="00000000" w:rsidDel="00000000">
              <w:rPr>
                <w:i w:val="1"/>
                <w:rtl w:val="0"/>
              </w:rPr>
              <w:t xml:space="preserve">de minimis</w:t>
            </w:r>
            <w:r w:rsidR="00000000" w:rsidRPr="00000000" w:rsidDel="00000000">
              <w:rPr>
                <w:rtl w:val="0"/>
              </w:rPr>
              <w:t xml:space="preserve"> atbalsta saņemšanai atbalsta saņēmējs pievieno </w:t>
            </w:r>
            <w:r w:rsidR="00000000" w:rsidRPr="00000000" w:rsidDel="00000000">
              <w:rPr>
                <w:i w:val="1"/>
                <w:rtl w:val="0"/>
              </w:rPr>
              <w:t xml:space="preserve">de minimis</w:t>
            </w:r>
            <w:r w:rsidR="00000000" w:rsidRPr="00000000" w:rsidDel="00000000">
              <w:rPr>
                <w:rtl w:val="0"/>
              </w:rPr>
              <w:t xml:space="preserve"> veidlapas izdruku vai norāda </w:t>
            </w:r>
            <w:r w:rsidR="00000000" w:rsidRPr="00000000" w:rsidDel="00000000">
              <w:rPr>
                <w:i w:val="1"/>
                <w:rtl w:val="0"/>
              </w:rPr>
              <w:t xml:space="preserve">de minimis</w:t>
            </w:r>
            <w:r w:rsidR="00000000" w:rsidRPr="00000000" w:rsidDel="00000000">
              <w:rPr>
                <w:rtl w:val="0"/>
              </w:rPr>
              <w:t xml:space="preserve"> atbalsta sistēmā izveidotās un apstiprinātās pretendenta veidlapas identifikācijas numuru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 </w:t>
            </w:r>
            <w:r w:rsidR="00000000" w:rsidRPr="00000000" w:rsidDel="00000000">
              <w:rPr>
                <w:rtl w:val="0"/>
              </w:rPr>
              <w:t xml:space="preserve">atbalsta uzskaites veidlapu paraugiem;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Lēmumu par </w:t>
            </w:r>
            <w:r w:rsidR="00000000" w:rsidRPr="00000000" w:rsidDel="00000000">
              <w:rPr>
                <w:i w:val="1"/>
                <w:rtl w:val="0"/>
              </w:rPr>
              <w:t xml:space="preserve">de minimis</w:t>
            </w:r>
            <w:r w:rsidR="00000000" w:rsidRPr="00000000" w:rsidDel="00000000">
              <w:rPr>
                <w:rtl w:val="0"/>
              </w:rPr>
              <w:t xml:space="preserve"> atbalsta piešķiršanu var pieņemt saskaņā ar regulas 2023/2831 7. panta 4. punktu un 8. pantu, regulas 717/2014 7. panta 4. punktu un 8. pantu un regulas 1408/2013 7. panta 4. punktu un 8. pantu atbilstoši šo regulu darbības termiņam.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w:t>
            </w:r>
            <w:r w:rsidR="00000000" w:rsidRPr="00000000" w:rsidDel="00000000">
              <w:rPr>
                <w:i w:val="1"/>
                <w:rtl w:val="0"/>
              </w:rPr>
              <w:t xml:space="preserve">de minimis</w:t>
            </w:r>
            <w:r w:rsidR="00000000" w:rsidRPr="00000000" w:rsidDel="00000000">
              <w:rPr>
                <w:rtl w:val="0"/>
              </w:rPr>
              <w:t xml:space="preserve"> atbalsts tiek piešķirts ievērojot regulas Nr.2023/2831 7.panta 3.punktā un 8.pantā noteikto darbības termiņu, lūdzam precizēt noteikumu projekta 36.punkta redakciju aiz vārdiem “saskaņā ar regulas 2023/2831 7. panta” norādīto skaitli “4” aizstāt ar skaitli “3”.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projekta 36.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Lēmumu par </w:t>
            </w:r>
            <w:r w:rsidR="00000000" w:rsidRPr="00000000" w:rsidDel="00000000">
              <w:rPr>
                <w:i w:val="1"/>
                <w:rtl w:val="0"/>
              </w:rPr>
              <w:t xml:space="preserve">de minimis </w:t>
            </w:r>
            <w:r w:rsidR="00000000" w:rsidRPr="00000000" w:rsidDel="00000000">
              <w:rPr>
                <w:rtl w:val="0"/>
              </w:rPr>
              <w:t xml:space="preserve">atbalsta piešķiršanu var pieņemt saskaņā ar regulas 2023/2831 7. panta 3. punktā un 8. pantā un regulas 717/2014 7. panta 4. punktā un 8. pantā noteikto atbilstoši šo regulu darbības termiņam.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Konstatējot regulā 2023/2831, regulā 717/2014 vai regulā 1408/2013 noteikto nosacījumu pārkāpumu, komercdarbības gala labuma guvējam ir pienākums atmaksāt atbalsta sniedzējam visu projekta ietvaros saņemto nelikumīgo </w:t>
            </w:r>
            <w:r w:rsidR="00000000" w:rsidRPr="00000000" w:rsidDel="00000000">
              <w:rPr>
                <w:i w:val="1"/>
                <w:rtl w:val="0"/>
              </w:rPr>
              <w:t xml:space="preserve">de minimis</w:t>
            </w:r>
            <w:r w:rsidR="00000000" w:rsidRPr="00000000" w:rsidDel="00000000">
              <w:rPr>
                <w:rtl w:val="0"/>
              </w:rPr>
              <w:t xml:space="preserve">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38.pantā ir lietots termins “komercdarbības gala labuma guvējs”, kas noteikumu projektā nav skaidrots. Lai atbalsta sniedzējam un atbalsta saņēmējam būtu skaidri visi </w:t>
            </w:r>
            <w:r w:rsidR="00000000" w:rsidRPr="00000000" w:rsidDel="00000000">
              <w:rPr>
                <w:i w:val="1"/>
                <w:rtl w:val="0"/>
              </w:rPr>
              <w:t xml:space="preserve">de minimis</w:t>
            </w:r>
            <w:r w:rsidR="00000000" w:rsidRPr="00000000" w:rsidDel="00000000">
              <w:rPr>
                <w:rtl w:val="0"/>
              </w:rPr>
              <w:t xml:space="preserve"> regulējuma nosacījumi, aicinām precizēt noteikumu projekta 38.punktu, piemēram, šādā redakcijā: "Ja tiek pārkāptas regulas Nr. ​2023/2831, regulas Nr.717/2014 vai regulas Nr.1408/2013 prasības, atbalsta saņēmējam ir pienākums atmaksāt atbalsta sniedzējam projekta ietvaros nelikumīgi saņemto </w:t>
            </w:r>
            <w:r w:rsidR="00000000" w:rsidRPr="00000000" w:rsidDel="00000000">
              <w:rPr>
                <w:i w:val="1"/>
                <w:rtl w:val="0"/>
              </w:rPr>
              <w:t xml:space="preserve">de minimis</w:t>
            </w:r>
            <w:r w:rsidR="00000000" w:rsidRPr="00000000" w:rsidDel="00000000">
              <w:rPr>
                <w:rtl w:val="0"/>
              </w:rPr>
              <w:t xml:space="preserve">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projekta 38.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Konstatējot regulā 2023/2831 un regulā 717/2014 noteikto nosacījumu pārkāpumu, atbalsta saņēmējam ir pienākums atmaksāt atbalsta sniedzējam projekta ietvaros saņemto nelikumīgo </w:t>
            </w:r>
            <w:r w:rsidR="00000000" w:rsidRPr="00000000" w:rsidDel="00000000">
              <w:rPr>
                <w:i w:val="1"/>
                <w:rtl w:val="0"/>
              </w:rPr>
              <w:t xml:space="preserve">de minimis </w:t>
            </w:r>
            <w:r w:rsidR="00000000" w:rsidRPr="00000000" w:rsidDel="00000000">
              <w:rPr>
                <w:rtl w:val="0"/>
              </w:rPr>
              <w:t xml:space="preserve">atbalstu kopā ar procentiem no līdzekļiem, kas ir brīvi no komercdarbības atbalsta, atbilstoši Komercdarbības atbalsta kontroles likuma IV vai V nodaļas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ietverto skaidrojumu par to, kāpēc sadarbības partneru līmenī nav konstatējams komercdarbības atbalsts, skaidrojot, kura no pazīmēm neizpildās. Salīdzinoši mazs atbalsta apjoms nav arguments komercdarbības atbalsta kontekstā. Aprakstītajiem sadarbības partneru sniegtajiem pakalpojumiem, mūsuprāt, pastāv tirgus; šādu pakalpojumu sniedzēji ir arī citur Eiropas Savienībā; minētie argumenti nepalīdz saprast, vai sadarbības partneru konkrētu pakalpojumu nodrošināšana ikvienam darba devējam būtu vai nebūtu uzskatāma par saimniecisko darbību un vai vienlaikus izpildās visas komercdarbības atbalsta pazīmes. Skaidrojam arī, ka praksē ir jāpārbauda, vai 'deleģējums' tiek īstenots organizējot un pašam nenodarbojoties ar saimniecisko darbību vai arī iesaistoties saimnieciskā darbībā; jāskatās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arī attiecībā uz anotācijā ietverto skaidrojumu par OVP veikšanu, lūdzam pārskatīt un precizēt analīzi komercdarbības atbalsta kontroles kontekstā. Piemēram, ņemot vērā to, ka pasākumā atbalsts nebūs pieejams ikvienam indivīdam, kas pārsniedz 45 gadu slieksni, bet fokusēts konkrētiem darba devējiem, kas konkurē ES iekšējā tirgū un tāpēc pēdējās valsts atbalsta pazīmes izpildīšanos izslēgt nevarētu, attiecīgi pasākums ir komercdarbības atbalsts, kuram jāpiemēro valsts atbalsta regulējums (šeit izvēlēts - </w:t>
            </w:r>
            <w:r w:rsidR="00000000" w:rsidRPr="00000000" w:rsidDel="00000000">
              <w:rPr>
                <w:i w:val="1"/>
                <w:rtl w:val="0"/>
              </w:rPr>
              <w:t xml:space="preserve">de minimis)</w:t>
            </w:r>
            <w:r w:rsidR="00000000" w:rsidRPr="00000000" w:rsidDel="00000000">
              <w:rPr>
                <w:rtl w:val="0"/>
              </w:rPr>
              <w:t xml:space="preserve">. Kā jau skaidrots, salīdzinoši neliels finansējuma apjoms valsts atbalsta kontekstā nav arguments.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anotācijas 1.3. sadaļa, iekļaujot papildus analīzi, kāpēc sadarbības partneru līmenī nav piemērojams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vēlamies atzīmēt, ka līdzīga rakstura atbalsts sociālajiem partneriem netika kvalificēts kā komercdarbības atbalsts arī citā Eiropas Savienības kohēzijas politikas programmas 2021.–2027. gadam 4.3.4. specifiskā atbalsta mērķa "Sekmēt aktīvu iekļaušanu, lai veicinātu vienlīdzīgas iespējas, nediskriminēšanu un aktīvu līdzdalību, kā arī uzlabotu nodarbinātību, jo īpaši attiecībā uz nelabvēlīgā situācijā esošām grupām" 4.3.4.4. pasākumā "Sociālā dialoga attīstība, stiprinot sociālo partneru veiktspēju līdzdarboties likumdošanas, nacionālo reformu un koplīgumu slēgšanas pārrunu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kuri dokumenti apliecina to, ka visi ieguldījumu priekšnosacījumi ir izpildīti. Vēršam uzmanību, ka Eiropas Savienības kohēzijas politikas programma 2021.–2027.gadam 4.sadaļas "Ieguldījumu priekšnosacījumi" 25.tabula (12)" Ieguldījumu priekšnosacījumi" pie 4.3.3.SAM norādīta “Nodarbinātības valsts aģentūras darbības stratēģija 2021.–2023. gadam”, taču tā ir izstrādāta īsākam laika periodam nekā 2021.–2027. gada plānošanas periods. Līdz ar to pastāv bažas, ka nav nodrošināta ieguldījumu priekšnosacījumu izpilde.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NVA darbības stratēģija 2021.–2023. gadam ir tikai viens no dokumentiem, kas pamato tematiskā ieguldījumu priekšnosacījuma Nr. 10 kritēriju (kārtība, kādā nodrošina, ka tā izstrādi, īstenošanu, uzraudzību un pārskatīšanu veic ciešā sadarbībā ar attiecīgajām ieinteresētajām personām (turpmāk – 3. kritērijs), un aktīvas darba tirgus politikas uzraudzības, izvērtēšanas un pārskatīšanas kārtība (turpmāk – 4. kritērijs) izpildi. Minēto kritēriju izpildi lielākā mērā pamato vairāki tiesību aktu hierarhijā augstāka līmeņa dokumenti, proti – MK noteikumi Nr. 75 un 2012. gada 18. decembra MK noteikumi Nr. 876 “Nodarbinātības valsts aģentūras nolikums” (turpmāk – NVA nolikums), uz kuriem jau iekļauta atsauce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un 4. kritērija izpildi pamato šāds minētajos dokumentos ietvertais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MK noteikumu Nr. 75 2. punkts nosaka, ka NVA sadarbībā ar citām valsts un pašvaldību iestādēm, kā arī fiziskām un juridiskām personām un šādu personu apvienībām organizē un īsteno aktīvos nodarbinātības pasākumus un preventīvos bezdarba samazināšanas pasākumus (3. kritērija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MK noteikumu Nr. 75 3.punkts nosaka, ka pasākumu organizēšanai un īstenošanai paredzētos valsts budžeta un Eiropas Savienības struktūrfondu līdzekļus NVA sadarbības ietvaros var piešķirt arī citām valsts un pašvaldības iestādēm (3. kritērija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MK noteikumu Nr. 75 7. punkts nosaka, ka NVA nodrošina pasākumu īstenošanas norises un piešķirto finanšu līdzekļu izlietojuma atbilstības kontroli un izlases veidā veic pārbaudes pasākumu īstenošanas vietās (4. kritērija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MK noteikumu Nr. 75 8. punkts nosaka, ka pasākumu īstenošanai un pakalpojumu sniegšanai NVA izvēlas pasākumu īstenotājus – izglītības iestādes, eksaminācijas centrus, darba devējus, sociālo pakalpojumu sniedzējus, amata meistarus, konsultantus, ekspertus, speciālistus, ergoterapeitus un citus pakalpojumu sniedzējus. Pasākumu īstenotājus NVA izvēlas atbilstoši prasībām, kas noteiktas normatīvajos aktos par publiskajiem iepirkumiem, ievērojot atklātu, pārredzamu, nediskriminējošu un konkurenci veicinošu procedūru (3. kritērija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MK noteikumu Nr. 75 34.5 punkts nosaka, ka, lai nodrošinātu apmācību kvalitātes uzraudzību, NVA un citas kompetentās iestādes ir tiesīgas pārbaudīt apmācību norisi apmācību īstenošanas vietās un pieprasīt izglītības iestādei jebkurus ar apmācību īstenošanu saistītus dokumentus. NVA sadarbojas ar Izglītības kvalitātes valsts dienestu, lai uzraudzītu un izvērtētu apmācību kvalitāti atbilstoši izglītības kvalitāti reglamentējošajiem normatīvajiem aktiem, kā arī lai veiktu attālināti īstenoto mācību programmu ekspertīzi, metodoloģisko vadību un ieviešanas uzraudzību.(3. kritērija un 4. kritērija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NVA nolikuma 4.1. apakšpunkts nosaka, ka NVA izvērtē aktīvo nodarbinātības pasākumu un bezdarba samazināšanas preventīvo pasākumu ieviešanu, veic izmaksu analīzi, sniedz priekšlikumus pasākumu pilnveidošanai, kā arī veicina šo pasākumu dažādošanu atbilstoši pieprasījumam darba tirgū (4. kritērija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NVA nolikuma 4.2. apakšpunkts nosaka, ka NVA prognozē darba tirgus norises īstermiņā, tai skaitā veic darba devēju aptauju (4. kritērija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NVA nolikuma 4.5. apakšpunkts nosaka, ka NVA organizē NVA un darba devēju sadarbību un savstarpēju informācijas apmaiņu, regulāri atjauno un pilnveido darba devēju pieteikto brīvo darba vietu uzskaiti (3. kritērija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NVA nolikuma 4.9. apakšpunkts nosaka, ka NVA sadarbojas ar ārvalstu un starptautiskajām institūcijām bezdarba samazināšanas, nodarbinātības veicināšanas un karjeras konsultēšanas jomā, kā arī veic pasākumus informācijas apmaiņas nodrošināšanai darbaspēka kustības jautājumos (3. kritērija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NVA nolikuma 4.12. apakšpunkts nosaka, ka NVA uztur un sistemātiski atjauno NVA funkciju izpildei nepieciešamās datubāzes (4. kritērija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NVA nolikuma 5.2. apakšpunkts nosaka, ka NVA ir tiesības organizēt un vadīt seminārus, konferences un citus pasākumus, sadarboties ar nevalstiskajām organizācijām, fiziskajām un juridiskajām personām, kā arī ārvalstu un starptautiskajām institūcijām, lai risinātu jautājumus, kas saistīti ar NVA kompetencē esošajiem uzdevumiem (3. kritērija un 4. kritērija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dokuments “NVA darbības stratēģija 2021.-2023.gadam” ir svītrojams no ieguldījumu priekšnosacījumu kritēriju izpildes dokumentu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Labklājības ministrija ir iesniegusi attiecīgus grozījumus Eiropas Savienības kohēzijas politikas programmas 2021.–2027.gadam 4.sadaļā "Ieguldījumu priekšnosacījumi".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- 01.03.2024.)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1.3 sadaļā "Demarkācija un papildināmība ar citiem finanšu instrumentiem" papildināt informāciju par demarkāciju ar EM programmu 4.2.4.1. "Atbalsts nozaru vajadzībās balstītai pieaugušo izglītībai", lai izslēgtu dubultā finansējuma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17.jūlija noteikumu Nr.421 “Kārtība, kādā veic gadskārtējā valsts budžeta likumā noteiktās apropriācijas izmaiņas” 24.2.apakšpunktā noteikts, ka Ministru kabinets pieņem lēmumu par konkrētā plānotā projekta izdevumu priekšfinansēšanu noteiktā apjomā un izdevumu pozīcijām atbilstoši projektā izvirzītajam mērķim, pamatojoties uz iesniegto</w:t>
            </w:r>
            <w:r w:rsidR="00000000" w:rsidRPr="00000000" w:rsidDel="00000000">
              <w:rPr>
                <w:u w:val="single"/>
                <w:rtl w:val="0"/>
              </w:rPr>
              <w:t xml:space="preserve"> argumentāciju un risku analīzi.</w:t>
            </w:r>
            <w:r w:rsidR="00000000" w:rsidRPr="00000000" w:rsidDel="00000000">
              <w:rPr>
                <w:rtl w:val="0"/>
              </w:rPr>
              <w:t xml:space="preserve"> Līdz ar to lūdzam papildināt anotācijas 1.3.apakšsadaļas punktu “Risinājuma apraksts”, sniedzot pamatojumu (argumentāciju) līdzekļu piešķiršanai no valsts budžeta pirms projekta iesnieguma apstiprināšanas sadarbības iestādē. Vienlaikus lūdzam sniegt novērtējumu un tā izvērtējuma analīzi, kāds ir risks (zems, vidējs, augsts), ka pirms projekta apstiprināšanas veiktās izmaksas var netikt atzītas par attiecināmām. Vienlaikus lūdzam anotācijā norādīt katrai izdevumu pozīcijai paredzēto priekšfinansējuma apmēru, kā arī sniegt informāciju par 4.3.3.5. pasākuma projekta īstenošanas gaitu, gadījumā, ja priekšfinansējums 991 941 </w:t>
            </w:r>
            <w:r w:rsidR="00000000" w:rsidRPr="00000000" w:rsidDel="00000000">
              <w:rPr>
                <w:i w:val="1"/>
                <w:rtl w:val="0"/>
              </w:rPr>
              <w:t xml:space="preserve">euro </w:t>
            </w:r>
            <w:r w:rsidR="00000000" w:rsidRPr="00000000" w:rsidDel="00000000">
              <w:rPr>
                <w:rtl w:val="0"/>
              </w:rPr>
              <w:t xml:space="preserve">apmērā netiks piešķirts.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anotācijas 1.3. sadaļa, kā arī katrai izdevumu pozīcijai paredzētais priekšfinansējuma apmērs ir norādīts MK noteikumu projekta anotācijas 3.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iesniegumam jāpievieno projekta iesniedzēja izstrādāta procedūra, kā tas nodrošinās </w:t>
            </w:r>
            <w:r w:rsidR="00000000" w:rsidRPr="00000000" w:rsidDel="00000000">
              <w:rPr>
                <w:i w:val="1"/>
                <w:rtl w:val="0"/>
              </w:rPr>
              <w:t xml:space="preserve">de minimis </w:t>
            </w:r>
            <w:r w:rsidR="00000000" w:rsidRPr="00000000" w:rsidDel="00000000">
              <w:rPr>
                <w:rtl w:val="0"/>
              </w:rPr>
              <w:t xml:space="preserve">atbalsta sniegšanu, lūdzam atbilstoši papildināt anotāciju norādot, ka minētā procedūra tiks izstrādāta līdz projekta atlases izsludināšanai.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6.punkta 5.rindkopā, kura sākas ar vārdiem “LM normatīvajos aktos noteiktajā kārtībā”, pirms skaitļiem un vārda “991 941 </w:t>
            </w:r>
            <w:r w:rsidR="00000000" w:rsidRPr="00000000" w:rsidDel="00000000">
              <w:rPr>
                <w:i w:val="1"/>
                <w:rtl w:val="0"/>
              </w:rPr>
              <w:t xml:space="preserve">euro</w:t>
            </w:r>
            <w:r w:rsidR="00000000" w:rsidRPr="00000000" w:rsidDel="00000000">
              <w:rPr>
                <w:rtl w:val="0"/>
              </w:rPr>
              <w:t xml:space="preserve">” aizstāt vārdu “indikatīvi” ar vārdiem “ne vairāk kā” atbilstoši Ministru kabineta sēdes protokollēmuma projekta 3.punktā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projekta anotācijas 3. sadaļas 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1.3.apakšsadaļas punktā “Risinājuma apraksts” sniegto informāciju par noteikumu projekta īstenošanai paredzētajām amata vietām, lūdzam aizpildīt anotācijas 3.sadaļas 7.punktu atbilstoši Vadlīnijās tiesību akta projekta sākotnējās ietekmes novērtēšanai un novērtējuma ziņojuma sagatavošanai vienotajā tiesību aktu izstrādes un saskaņošanas portālā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MK noteikumu projekta anotācijas 3. sadaļas 7.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programmas iznākuma rādītājs – nodarbinātas personas, tostarp pašnodarbinātas personas – 2 477;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kā tiks nodrošināta attiecīgā Programmā noteiktā specifiskā atbalsta mērķa (turpmāk – SAM) rādītāja sasniegšana. Norādām, ka šobrīd no noteikumu projektā un anotācijā iekļautās informācijas nav skaidri saprotams, ka vairāku MK noteikumu par pasākumu īstenošanu ietvaros skaitot kopā tiks nodrošināta SAM noteiktā sasniedzamā vērtība (EECO05 Nodarbinātas personas, tostarp pašnodarbinātas personas - 5 977). Proti, saskaņā ar rādītāju metodoloģisko aprakstu: </w:t>
            </w:r>
            <w:r w:rsidR="00000000" w:rsidRPr="00000000" w:rsidDel="00000000">
              <w:rPr>
                <w:b w:val="1"/>
                <w:rtl w:val="0"/>
              </w:rPr>
              <w:t xml:space="preserve">5 977</w:t>
            </w:r>
            <w:r w:rsidR="00000000" w:rsidRPr="00000000" w:rsidDel="00000000">
              <w:rPr>
                <w:rtl w:val="0"/>
              </w:rPr>
              <w:t xml:space="preserve"> (3 000 (4.3.3.1. pasākums) + 500 (4.3.3.2. pasākums) + 2 477 (4.3.3.5. pasākums)).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programmas iznākuma rādītājs – nodarbinātas personas, tostarp pašnodarbinātas personas – 2477;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Pasākuma ietvaros izmaksas ir attiecināmas, ja tās atbilst šajos noteikumos minētajām izmaksu pozīcijām un tās ir radušās no 2024. gada 1.janvāra.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4.3.3.SAM rādītāju metodoloģisko aprakstu, norādot definīciju, kas šī pasākuma ietvaros tiek uzskatīts ar darbību. Ņemot vērā, ka noteikumu projekts paredz attiecināt izmaksas, kas radušās </w:t>
            </w:r>
            <w:r w:rsidR="00000000" w:rsidRPr="00000000" w:rsidDel="00000000">
              <w:rPr>
                <w:u w:val="single"/>
                <w:rtl w:val="0"/>
              </w:rPr>
              <w:t xml:space="preserve">pirms</w:t>
            </w:r>
            <w:r w:rsidR="00000000" w:rsidRPr="00000000" w:rsidDel="00000000">
              <w:rPr>
                <w:rtl w:val="0"/>
              </w:rPr>
              <w:t xml:space="preserve"> MK noteikumu apstiprināšanas (t.sk. vienošanās noslēgšanas brīža), un </w:t>
            </w:r>
            <w:r w:rsidR="00000000" w:rsidRPr="00000000" w:rsidDel="00000000">
              <w:rPr>
                <w:b w:val="1"/>
                <w:rtl w:val="0"/>
              </w:rPr>
              <w:t xml:space="preserve">nedrīkst attiecināt jau pabeigtas darbības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rādītāju metodoloģiskajā aprakstā norādītajam - rādītājs (EECO05"Nodarbinātas personas, tostarp pašnodarbinātas personas") tiks uzskaitīts par sasniegtu, kad nodarbinātā persona uzsāks dalību plānā noteiktajos atbalsta pasākumos (personas dalību pasākumā apliecinās informācija par dalību pasākumā NVA informācijas sistēmā BURVIS).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rādītāju metodoloģijā ir ietverta informācija par rādītāju uzskaiti. Minētā rādītāju metodoloģija paredz (šī informācija ietverta arī MK noteikumu projekta anotācijā), ka 4.3.3.5. pasākumā iesaistīto unikālo personu skaits tika rēķināts, ņemot vērā 7.3.2. SAM īstenošanas vidējās izmaksas, līdz ar to vidējās vienas nodarbinātas personas plānotās dalības izmaksas veido indikatīvi 5 188,38 </w:t>
            </w:r>
            <w:r w:rsidR="00000000" w:rsidRPr="00000000" w:rsidDel="00000000">
              <w:rPr>
                <w:i w:val="1"/>
                <w:rtl w:val="0"/>
              </w:rPr>
              <w:t xml:space="preserve">euro</w:t>
            </w:r>
            <w:r w:rsidR="00000000" w:rsidRPr="00000000" w:rsidDel="00000000">
              <w:rPr>
                <w:rtl w:val="0"/>
              </w:rPr>
              <w:t xml:space="preserve">. Attiecīgi kopumā 4.3.3.5. pasākumā ir plānots iesaistīt 2 477 unikālas nodarbinātas personas (proti, kopējais finansējums 12 852 385 </w:t>
            </w:r>
            <w:r w:rsidR="00000000" w:rsidRPr="00000000" w:rsidDel="00000000">
              <w:rPr>
                <w:i w:val="1"/>
                <w:rtl w:val="0"/>
              </w:rPr>
              <w:t xml:space="preserve">euro</w:t>
            </w:r>
            <w:r w:rsidR="00000000" w:rsidRPr="00000000" w:rsidDel="00000000">
              <w:rPr>
                <w:rtl w:val="0"/>
              </w:rPr>
              <w:t xml:space="preserve"> / vidēji 5 188,38 </w:t>
            </w:r>
            <w:r w:rsidR="00000000" w:rsidRPr="00000000" w:rsidDel="00000000">
              <w:rPr>
                <w:i w:val="1"/>
                <w:rtl w:val="0"/>
              </w:rPr>
              <w:t xml:space="preserve">euro</w:t>
            </w:r>
            <w:r w:rsidR="00000000" w:rsidRPr="00000000" w:rsidDel="00000000">
              <w:rPr>
                <w:rtl w:val="0"/>
              </w:rPr>
              <w:t xml:space="preserve"> (vienas personas atbalsta vidējās izmaksas pasākumā) = 2 477 nodarbinātas personas) (darbības līmenis/rādītāja uzskaites līmenis – projekts). Attiecīgi, atbilstoši MK noteikumu projektā ietvertajai informācijai – nedrīkst attiecināt jau pabeigtu projektu un izmaksas, kas radušās pirms 01.01.2024.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Pasākuma ietvaros izmaksas ir attiecināmas, ja tās atbilst šajos noteikumos minētajām izmaksu pozīcijām un tās ir radušās no 2024. gada 1. janvāra.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Finansējuma saņēmējs ar sadarbības partneriem slēdz sadarbības līgumu, kurā iekļauj informāciju saskaņā ar normatīvajiem aktiem par kārtību, kādā Eiropas Savienības fondu vadībā iesaistītās institūcijas nodrošina šo fondu ieviešanu 2021.— 2027. 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pievienot atsauci uz MK noteikumu 14.punktā minēto normatīvo aktu, t.i., </w:t>
            </w:r>
            <w:r w:rsidR="00000000" w:rsidRPr="00000000" w:rsidDel="00000000">
              <w:rPr>
                <w:rtl w:val="0"/>
              </w:rPr>
              <w:t xml:space="preserve">MK noteikumiem Nr. 408 "Kārtība, kādā Eiropas Savienības fondu vadībā iesaistītās institūcijas nodrošina šo fondu ieviešanu 2021.–2027. gada plānošanas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vienotai pieejai MK noteikumu projektā tiek noteikta atsauce uz normatīvo aktu 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Finansējuma saņēmējs ar sadarbības partneriem slēdz sadarbības līgumu, kurā iekļauj informāciju saskaņā ar normatīvajiem aktiem par kārtību, kādā Eiropas Savienības fondu vadībā iesaistītās institūcijas nodrošina šo fondu ieviešanu 2021.— 2027. gada plānošanas periodā.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Atbalstāmās darbības un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projektā nebūtu jāiekļauj informāciju par sasaisti ar ES Stratēģija Baltijas jūras reģionam (turpmāk -ESSBJR ) Rīcības plāns un anotācijā jānorāda, ka investīcijām piemērojams Makroreģionālā un jūras baseinu stratēģija kods 03 - Baltijas jūras reģiona stratēģija. Vēršam uzmanību, ka šī 4.3.3.5. pasākuma atbalstāmās darbības var sniegt ieguldījumu ESSBJR politikas virziena “Izglītība” darbības “Darba tirgus visiem, izmantojot ilgāka mūža resursus”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MK noteikumu projekta anotācijas 3. daļas 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Atbalstāmās darbības un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ietvaros ir atbalstāmas šādas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iespējami plašāku vienkāršoto izmaksu piemērošanu. Ja piemērot vienkāršotās izmaksas papildus jau paredzētajam nav iespējams, lūdzam sniegt argumentētu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anotācijas 1.6.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ietvaros ir atbalstāmas šādas darbības: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18.1.1. līdz brīdim, kad tiks apstiprināta ar vadošo iestādi saskaņota atbildīgās iestādes izstrādātā personāla izmaksu vienotās likmes un tās piemērošanas metodika (turpmāk – personāla izmaksu metodika), – finansējuma saņēmēja projekta vadības un īstenošanas personāla izmaksas, saskaņā ar Valsts un pašvaldību institūciju amatpersonu un darbinieku atlīdzības likumu un sadarbības partneru projekta vadības un īstenošanas personāla izmaksas, izņemot virsstundas. Ja personāla iesaiste projektā ir nodrošināta saskaņā ar daļlaika izmaksu attiecināmības principu, attiecināma ir ne mazāka kā 30 procentu noslodze;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projekta vadības izmaksu nepieciešamību sadarbības partneriem.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projekts, ņemot vērā, ka sadarbības partneriem ir paredzēts tikai īstenošanas personāls, kā arī papildināta MK noteikumu projekta anotācijas 1.3. apakšsadaļa, skaidrojot, ka sadarbības partneri piesaista  projekta īstenošanas nevis projekta vadības personālu.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18.1.1. līdz brīdim, kad apstiprinās ar vadošo iestādi saskaņoto atbildīgās iestādes izstrādāto personāla izmaksu vienotās likmes un tās piemērošanas metodiku (turpmāk – personāla izmaksu metodika) – finansējuma saņēmēja projekta vadības un īstenošanas personāla izmaksas, saskaņā ar Valsts un pašvaldību institūciju amatpersonu un darbinieku atlīdzības likumu un sadarbības partneru projekta īstenošanas personāla izmaksas, izņemot virsstundas. Ja personāla iesaiste projektā ir nodrošināta saskaņā ar daļlaika izmaksu attiecināmības principu, attiecināma ir ne mazāka kā 30 procentu noslodze;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darba vietas aprīkojuma iegādei vai nomai, tostarp aprīkojuma uzturēšanai un remontam, finansējuma saņēmēja projekta vadības un īstenošanas personālam un sadarbības partneru projekta vadības un īstenošanas personālam jaunu darba vietu radīšanai vai, gadījumā, ja esošo darba vietu aprīkojums ir nolietojies un tiek norakstīts, var paredzēt ne vairāk kā 3 000 </w:t>
            </w:r>
            <w:r w:rsidR="00000000" w:rsidRPr="00000000" w:rsidDel="00000000">
              <w:rPr>
                <w:i w:val="1"/>
                <w:rtl w:val="0"/>
              </w:rPr>
              <w:t xml:space="preserve">euro</w:t>
            </w:r>
            <w:r w:rsidR="00000000" w:rsidRPr="00000000" w:rsidDel="00000000">
              <w:rPr>
                <w:rtl w:val="0"/>
              </w:rPr>
              <w:t xml:space="preserve"> apmērā vienai darba vietai visā projekta īstenošanas laikā. Ja personāls ir nodarbināts normālu darba laiku, darba vietas aprīkojuma izmaksas ir attiecināmas 100 procentu apmērā. Ja personāls ir nodarbināts nepilnu darba laiku, darba vietas aprīkojuma izmaksas ir attiecināmas proporcionāli slodzes procentuālajam sadalījumam. Ja personāla atlīdzībai piemēro daļlaika izmaksu attiecināmības principu, darba vietas aprīkojuma izmaksas ir attiecināmas proporcionāli slodzes procentuālajam sadalījumam un nodarbinātā iesaistes periodam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tekstu par darba vietas aprīkojuma izmaksu attiecināmību nepilnā darba laika noslodzes gadījumā.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vietas aprīkojuma iegādei vai nomai, tostarp aprīkojuma uzturēšanai un remontam, finansējuma saņēmēja projekta vadības un īstenošanas personālam un sadarbības partneru projekta vadības un īstenošanas personālam jaunu darba vietu radīšanai vai, gadījumā, ja esošo darba vietu aprīkojums ir nolietojies un tiek norakstīts, var paredzēt ne vairāk kā 3 000 </w:t>
            </w:r>
            <w:r w:rsidR="00000000" w:rsidRPr="00000000" w:rsidDel="00000000">
              <w:rPr>
                <w:i w:val="1"/>
                <w:rtl w:val="0"/>
              </w:rPr>
              <w:t xml:space="preserve">euro</w:t>
            </w:r>
            <w:r w:rsidR="00000000" w:rsidRPr="00000000" w:rsidDel="00000000">
              <w:rPr>
                <w:rtl w:val="0"/>
              </w:rPr>
              <w:t xml:space="preserve"> apmērā vienai darba vietai visā projekta īstenošanas laikā. Ja personāls ir nodarbināts normālu darba laiku, darba vietas aprīkojuma izmaksas ir attiecināmas 100 procentu apmērā. Ja personāls ir nodarbināts nepilnu darba laiku, darba vietas aprīkojuma izmaksas ir attiecināmas atbilstoši nepilnā darba laika noslodzei. Ja personāla atlīdzībai piemēro daļlaika izmaksu attiecināmības principu, darba vietas aprīkojuma izmaksas ir attiecināmas proporcionāli slodzes procentuālajam sadalījumam un nodarbinātā iesaistes periodam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projekta 19.1.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darba vietas aprīkojuma iegādei vai nomai, tostarp aprīkojuma uzturēšanai un remontam, finansējuma saņēmēja projekta vadības un īstenošanas personālam un sadarbības partneru projekta īstenošanas personālam jaunu darba vietu radīšanai vai, gadījumā, ja esošo darba vietu aprīkojums ir nolietojies un to noraksta, var paredzēt ne vairāk kā 3000 </w:t>
            </w:r>
            <w:r w:rsidR="00000000" w:rsidRPr="00000000" w:rsidDel="00000000">
              <w:rPr>
                <w:i w:val="1"/>
                <w:rtl w:val="0"/>
              </w:rPr>
              <w:t xml:space="preserve">euro</w:t>
            </w:r>
            <w:r w:rsidR="00000000" w:rsidRPr="00000000" w:rsidDel="00000000">
              <w:rPr>
                <w:rtl w:val="0"/>
              </w:rPr>
              <w:t xml:space="preserve"> apmērā vienai darba vietai visā projekta īstenošanas laikā. Ja personāls ir nodarbināts normālu darba laiku, darba vietas aprīkojuma izmaksas ir attiecināmas 100 procentu apmērā. Ja personāls ir nodarbināts nepilnu darba laiku, darba vietas aprīkojuma izmaksas ir attiecināmas atbilstoši nepilnā darba laika noslodzei. Ja personāla atlīdzībai piemēro daļlaika izmaksu attiecināmības principu, darba vietas aprīkojuma izmaksas ir attiecināmas proporcionāli slodzes procentuālajam sadalījumam un nodarbinātā iesaistes periodam projektā;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 finansējuma saņēmējs slēdz līgumu ar šo noteikumu </w:t>
            </w:r>
            <w:r w:rsidR="00000000" w:rsidRPr="00000000" w:rsidDel="00000000">
              <w:rPr>
                <w:rtl w:val="0"/>
              </w:rPr>
              <w:t xml:space="preserve">24.1. </w:t>
            </w:r>
            <w:r w:rsidR="00000000" w:rsidRPr="00000000" w:rsidDel="00000000">
              <w:rPr>
                <w:rtl w:val="0"/>
              </w:rPr>
              <w:t xml:space="preserve">apakšpunktā</w:t>
            </w:r>
            <w:r w:rsidR="00000000" w:rsidRPr="00000000" w:rsidDel="00000000">
              <w:rPr>
                <w:rtl w:val="0"/>
              </w:rPr>
              <w:t xml:space="preserve"> minētajā kārtībā atlasītajiem darba devējiem, kuri ir veikuši padziļināto darba vides risku novērtēšanu par dalību atbalstāmajā darbībā;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24.2. apakšpunkta redakciju, norādot, ka līgums tiek slēgts ar darba devējiem, kuri veikuši darba vides risku novērtēšanu par dalību noteikumu </w:t>
            </w:r>
            <w:r w:rsidR="00000000" w:rsidRPr="00000000" w:rsidDel="00000000">
              <w:rPr>
                <w:u w:val="single"/>
                <w:rtl w:val="0"/>
              </w:rPr>
              <w:t xml:space="preserve">16.1.4. un 16.1.5.</w:t>
            </w:r>
            <w:r w:rsidR="00000000" w:rsidRPr="00000000" w:rsidDel="00000000">
              <w:rPr>
                <w:rtl w:val="0"/>
              </w:rPr>
              <w:t xml:space="preserve"> apakšpunktos norādītajās atbalstāmajās darbībās.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24. punkta ievaddaļā jau ir minētas projekta darbības, līdz ar to atsauce uz tām svītrota no 24.2. apakšpunkta.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minēto atbalstāmo darbību īstenošanas un maksājuma pieprasījumu sagatavošanas nolūkā finansējuma saņēmējs un sadarbības partneri veic šo noteikumu </w:t>
            </w:r>
            <w:r w:rsidR="00000000" w:rsidRPr="00000000" w:rsidDel="00000000">
              <w:rPr>
                <w:rtl w:val="0"/>
              </w:rPr>
              <w:t xml:space="preserve">3.1.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3.4. </w:t>
            </w:r>
            <w:r w:rsidR="00000000" w:rsidRPr="00000000" w:rsidDel="00000000">
              <w:rPr>
                <w:rtl w:val="0"/>
              </w:rPr>
              <w:t xml:space="preserve">apakšpunktā</w:t>
            </w:r>
            <w:r w:rsidR="00000000" w:rsidRPr="00000000" w:rsidDel="00000000">
              <w:rPr>
                <w:rtl w:val="0"/>
              </w:rPr>
              <w:t xml:space="preserve"> minētās mērķa grupas personu identificēšanu un uzskaiti, norādot vārdu, uzvārdu, personas kodu, personas atbilstību konkrētai mērķa grupai un citu personas datus nesaturošu informāciju, kas nepieciešama maksājuma pieprasījuma sagatavošanai, un iesniedz maksājuma pieprasījumu finansējuma saņēmējam.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27.punktu, ņemot vērā, ka maksājuma pieprasījumu sadarbības iestādē iesniedz finansējuma saņēmējs, savukārt sadarbības partneris iesniedz informāciju finansējuma saņēmējam šī maksājuma pieprasījuma sagatavošanai.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projekta 27.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minēto atbalstāmo darbību īstenošanas un maksājuma pieprasījumu sagatavošanas nolūkā finansējuma saņēmējs un sadarbības partneri veic šo noteikumu </w:t>
            </w:r>
            <w:r w:rsidR="00000000" w:rsidRPr="00000000" w:rsidDel="00000000">
              <w:rPr>
                <w:rtl w:val="0"/>
              </w:rPr>
              <w:t xml:space="preserve">3.1. </w:t>
            </w:r>
            <w:r w:rsidR="00000000" w:rsidRPr="00000000" w:rsidDel="00000000">
              <w:rPr>
                <w:rtl w:val="0"/>
              </w:rPr>
              <w:t xml:space="preserve">apakšpunktā</w:t>
            </w:r>
            <w:r w:rsidR="00000000" w:rsidRPr="00000000" w:rsidDel="00000000">
              <w:rPr>
                <w:rtl w:val="0"/>
              </w:rPr>
              <w:t xml:space="preserve"> minētās mērķa grupas personu identificēšanu un uzskaiti, norādot vārdu, uzvārdu, personas kodu, personas atbilstību konkrētai mērķa grupai un citu personas datus nesaturošu informāciju, kas nepieciešama maksājuma pieprasījuma sagatavošanai un iesniegšanai sadarbības iestādē.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nodrošināt komunikācijas un vizuālās identitātes pasākumus, kas noteikti regulas 2021/1060 47. un 50. pantā un atbilstoši normatīvajiem aktiem par kārtību, kādā Eiropas Savienības fondu vadībā iesaistītās institūcijas nodrošina šo fondu ieviešanu 2021.—2027. gada plānošanas periodā un Eiropas Savienības fondu 2021. – 2027. gada plānošanas perioda, kā arī Atveseļošanas fonda komunikācijas un dizaina vadlīnijām;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28.2. apakšpunktā norādīta atsauce uz nesaistošiem dokumentiem (vadlīnijām). Ņemot vērā minēto, lūdzam minētajā punktā svītrot atsauci uz nesaistošiem dokumentiem (vadlīnijām) un minēto informāciju lūdzam norādīt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komunikācijas un vizuālās identitātes pasākumus, kas noteikti regulas 2021/1060 47. un 50. pantā un atbilstoši normatīvajiem aktiem par kārtību, kādā Eiropas Savienības fondu vadībā iesaistītās institūcijas nodrošina šo fondu ieviešanu 2021.—2027. 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projekta 28.2.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nodrošina komunikācijas un vizuālās identitātes pasākumus, kas noteikti regulas 2021/1060 47. un 50. pantā un atbilstoši normatīvajiem aktiem par kārtību, kādā Eiropas Savienības fondu vadībā iesaistītās institūcijas nodrošina šo fondu ieviešanu 2021.—2027. gada plānošanas periodā;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30.4. projekta īstenošanas un maksājuma pieprasījumu sagatavošanas nolūkā veic projekta īstenošanā iesaistīto personu datu apstrādi, identificēšanu un uzskaiti, kā arī izstrādā un uztur Kohēzijas politikas fondu vadības informācijas sistēmu un normatīvajos aktos par aktīvo nodarbinātības pasākumu un preventīvo bezdarba samazināšanas pasākumu organizēšanas un finansēšanas kārtību un pasākumu īstenotāju izvēles principiem noteiktajā kārtībā un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30.4. apakšpunktu, ņemot vērā, ka finansējuma saņēmējs neizstrādā un neuztur Kohēzijas politikas fondu vadības informācijas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projekta 30.4.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30.4. projekta īstenošanas un maksājuma pieprasījumu sagatavošanas nolūkā veic projekta īstenošanā iesaistīto personu datu apstrādi, identificēšanu un uzskaiti.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33.2.1. attiecīgajā fiskālajā gadā, kā arī iepriekšējos divos fiskālajos gados saņemtā</w:t>
            </w:r>
            <w:r w:rsidR="00000000" w:rsidRPr="00000000" w:rsidDel="00000000">
              <w:rPr>
                <w:i w:val="1"/>
                <w:rtl w:val="0"/>
              </w:rPr>
              <w:t xml:space="preserve"> de minimis</w:t>
            </w:r>
            <w:r w:rsidR="00000000" w:rsidRPr="00000000" w:rsidDel="00000000">
              <w:rPr>
                <w:rtl w:val="0"/>
              </w:rPr>
              <w:t xml:space="preserve"> atbalsta kopējo apmēru līdz līmenim, kas pārsniedz, Komisijas regulas Nr. 717/2014 3. panta 2. punktā (saimnieciskās darbības veicējiem, kuri darbojas zvejniecības un akvakultūras nozarē saskaņā ar Eiropas Parlamenta un Padomes regulu Nr. 1379/2013) vai Komisijas regulas Nr. 1408/2013 3. panta 3.a punktā (saimnieciskās darbības veicējiem, kuri nodarbojas ar lauksaimniecības produktu primāro ražošanu) noteikto maksimālo </w:t>
            </w:r>
            <w:r w:rsidR="00000000" w:rsidRPr="00000000" w:rsidDel="00000000">
              <w:rPr>
                <w:i w:val="1"/>
                <w:rtl w:val="0"/>
              </w:rPr>
              <w:t xml:space="preserve">de minimis </w:t>
            </w:r>
            <w:r w:rsidR="00000000" w:rsidRPr="00000000" w:rsidDel="00000000">
              <w:rPr>
                <w:rtl w:val="0"/>
              </w:rPr>
              <w:t xml:space="preserve">atbalsta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piešķirot atbalstu ar regulu Nr. 717/2014 vai regulu Nr. 1408/2013, jāievēro ne tikai regulas 717/2014 3.panta 2. a apakšpunktā vai regulas Nr.1408/2013 3.panta 3.a apakšpunktā noteiktais robežlielums, bet arī kopējais </w:t>
            </w:r>
            <w:r w:rsidR="00000000" w:rsidRPr="00000000" w:rsidDel="00000000">
              <w:rPr>
                <w:i w:val="1"/>
                <w:rtl w:val="0"/>
              </w:rPr>
              <w:t xml:space="preserve">de minimis</w:t>
            </w:r>
            <w:r w:rsidR="00000000" w:rsidRPr="00000000" w:rsidDel="00000000">
              <w:rPr>
                <w:rtl w:val="0"/>
              </w:rPr>
              <w:t xml:space="preserve"> atbalsta robežlielums, kas noteikts regulas Nr. 2023/2831 3.panta 2.punktā. Līdz ar to aicinām precizēt noteikumu projekta 33.2.1. apakšpunktu, paredzot, ka tiek veikta pārbaude, vai kopējais </w:t>
            </w:r>
            <w:r w:rsidR="00000000" w:rsidRPr="00000000" w:rsidDel="00000000">
              <w:rPr>
                <w:i w:val="1"/>
                <w:rtl w:val="0"/>
              </w:rPr>
              <w:t xml:space="preserve">de minimis</w:t>
            </w:r>
            <w:r w:rsidR="00000000" w:rsidRPr="00000000" w:rsidDel="00000000">
              <w:rPr>
                <w:rtl w:val="0"/>
              </w:rPr>
              <w:t xml:space="preserve"> atbalsts nepārsniedz noteikumu projekta 33.2.2. apakšpunktā norādīto robežlielumu, atbilstoši regulas Nr. 717/2014 vai regulas Nr. 1408/2013 5.pantā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33.3.1. apakšpunkts (iepriekš 33.2.1.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33.2.1. attiecīgajā fiskālajā gadā, kā arī iepriekšējos divos fiskālajos gados saņemtā</w:t>
            </w:r>
            <w:r w:rsidR="00000000" w:rsidRPr="00000000" w:rsidDel="00000000">
              <w:rPr>
                <w:i w:val="1"/>
                <w:rtl w:val="0"/>
              </w:rPr>
              <w:t xml:space="preserve"> de minimis</w:t>
            </w:r>
            <w:r w:rsidR="00000000" w:rsidRPr="00000000" w:rsidDel="00000000">
              <w:rPr>
                <w:rtl w:val="0"/>
              </w:rPr>
              <w:t xml:space="preserve"> atbalsta kopējo apmēru līdz līmenim, kas pārsniedz, Komisijas regulas Nr. 717/2014 3. panta 2. punktā (saimnieciskās darbības veicējiem, kuri darbojas zvejniecības un akvakultūras nozarē saskaņā ar Eiropas Parlamenta un Padomes regulu Nr. 1379/2013) vai Komisijas regulas Nr. 1408/2013 3. panta 3.a punktā (saimnieciskās darbības veicējiem, kuri nodarbojas ar lauksaimniecības produktu primāro ražošanu) noteikto maksimālo </w:t>
            </w:r>
            <w:r w:rsidR="00000000" w:rsidRPr="00000000" w:rsidDel="00000000">
              <w:rPr>
                <w:i w:val="1"/>
                <w:rtl w:val="0"/>
              </w:rPr>
              <w:t xml:space="preserve">de minimis </w:t>
            </w:r>
            <w:r w:rsidR="00000000" w:rsidRPr="00000000" w:rsidDel="00000000">
              <w:rPr>
                <w:rtl w:val="0"/>
              </w:rPr>
              <w:t xml:space="preserve">atbalsta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regulā Nr. 717/2014 2023.gada 25.oktobrī tika veikti grozījumi, kas nosaka, ka atbalsta pretendentam pieejamais robežlimits viena vienota uzņēmuma līmenī ir noteikts regulas Nr. 717/2014 3.panta 2.a apakšpunktā un tas ir 40 000 EUR. Attiecīgi lūdzam precizēt noteikumu projekta 33.2.1.apakšpunkta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33.3.1. apakšpunkts (iepriekš 33.2.1.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Atbalsta saņēmējs, kuram piešķir </w:t>
            </w:r>
            <w:r w:rsidR="00000000" w:rsidRPr="00000000" w:rsidDel="00000000">
              <w:rPr>
                <w:i w:val="1"/>
                <w:rtl w:val="0"/>
              </w:rPr>
              <w:t xml:space="preserve">de minimis</w:t>
            </w:r>
            <w:r w:rsidR="00000000" w:rsidRPr="00000000" w:rsidDel="00000000">
              <w:rPr>
                <w:rtl w:val="0"/>
              </w:rPr>
              <w:t xml:space="preserve"> atbalstu saskaņā ar regulu 2023/2831 un kas darbojas arī nozarēs, kuras minētas regulas 2023/2831 1. panta 1. punkta "a", "b", “c” vai "d" apakšpunktā, nodrošina šo nozaru darbību vai izmaksu nodalīšanu.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projekta ietvaros de minimis atbalstu plānots sniegt ne tikai saskaņā ar regulu Nr. 2023/2831, bet arī ar regulu Nr. 717/2014 un regulu Nr. 1408/2013, aicinām noteikumu projektu papildināt ar nosacījumu, ka gadījumā, ja atbalsta saņēmējs darbojas regulā Nr. 717/2014 vai regulā Nr. 1408/2013  uzskaitītajās izslēgtajās nozarēs, tam ir pienākums nodrošināt šo nozaru darbību vai izmaksu nodalīšanu.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projekta 35.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Atbalsta saņēmējs, kuram piešķir </w:t>
            </w:r>
            <w:r w:rsidR="00000000" w:rsidRPr="00000000" w:rsidDel="00000000">
              <w:rPr>
                <w:i w:val="1"/>
                <w:rtl w:val="0"/>
              </w:rPr>
              <w:t xml:space="preserve">de minimis </w:t>
            </w:r>
            <w:r w:rsidR="00000000" w:rsidRPr="00000000" w:rsidDel="00000000">
              <w:rPr>
                <w:rtl w:val="0"/>
              </w:rPr>
              <w:t xml:space="preserve">atbalstu: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anotācijas 1.3.apakšsadaļas punktā “Risinājuma apraksts” norādītās projekta īstenošanai kopējās personāla slodzes, jo, saskaitot Nodarbinātības valsts aģentūras (16), Rīgas Stradiņa universitātes aģentūras “Darba drošības un vides veselības institūts” (4,3), Latvijas Brīvo arodbiedrību savienības (2,4) un Latvijas Darba devēju konfederācijas (1,8) personāla slodzes, </w:t>
            </w:r>
            <w:r w:rsidR="00000000" w:rsidRPr="00000000" w:rsidDel="00000000">
              <w:rPr>
                <w:b w:val="1"/>
                <w:rtl w:val="0"/>
              </w:rPr>
              <w:t xml:space="preserve">veidojas</w:t>
            </w:r>
            <w:r w:rsidR="00000000" w:rsidRPr="00000000" w:rsidDel="00000000">
              <w:rPr>
                <w:rtl w:val="0"/>
              </w:rPr>
              <w:t xml:space="preserve"> indikatīvi </w:t>
            </w:r>
            <w:r w:rsidR="00000000" w:rsidRPr="00000000" w:rsidDel="00000000">
              <w:rPr>
                <w:b w:val="1"/>
                <w:rtl w:val="0"/>
              </w:rPr>
              <w:t xml:space="preserve">24,5 personāla slodzes</w:t>
            </w:r>
            <w:r w:rsidR="00000000" w:rsidRPr="00000000" w:rsidDel="00000000">
              <w:rPr>
                <w:rtl w:val="0"/>
              </w:rPr>
              <w:t xml:space="preserve">, nevis 25,5 personāla slodzes.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"LM un NVA rīcībā nav papildus ticamu datu papildus iepriekš minētajiem, lai izdarītu pieņēmumus par projekta ieguvumiem un tos aprēķinātu monetārā izteiksmē. Tāpēc arī finansējuma saņēmējam netiek noteikta prasība veikt izmaksu un ieguvumu analīzi projekta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izmaksu un ieguvumu analīze ir jāveic tādā apjomā, lai pierādītu atbalsta pasākuma atdevi (pasākuma (projekta) tīrā tagadnes vērtība ir lielāka par nulli). Ja ar anotācijā jau minētajiem ieguvumiem ir pietiekami, citi ieguvumi nav jāmeklē. Anotācijā izklāstītā informācija liecina, ka LM un NVA rīcībā ir pietiekama informācija, lai veiktu pilnvērtīgu izmaksu un ieguvumu analīzi atbilstoši vispārpieņemtajiem izmaksu un ieguvumu analīzes principiem, pievienojot to pielikumā anotācijai, kā tas ir izdarīts jau vairāku citu atbalsta pasākumu ietvaros. Lai veicinātu datos balstītas analīzes kultūru valsts pārvaldē un domāšanas maiņu attiecībā uz to, ka izmaksu un ieguvumu analīzei jābūt pamatā lēmuma pieņemšanai par atbalsta pasākuma īstenošanu, aicinām izmantot CFLA izstrādāto izmaksu un ieguvumu analīzes matemātisko modeli, pievienojot aprēķinus pielikumā, bet secinājumus par rezultātiem izdarīt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esošajā aprakstā nav skaidrs, vai skaidroti visi ietekmes faktori, piemēram, projekta uzturēšanas izmaksas vai citas papildus izmaksas, kas var rasties projekta īstenošanas periodā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anotācijā ir norādīta visa uz šo brīdi pieejamā informācija par projekta izmaksām un ieguvumiem, līdz ar to neredzam nepieciešamību veikt papildu analīzi.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pasākumu 4.2.4.1. "Atbalsts nozaru vajadzībās balstītai pieaugušo izglītībai", lūdzam vērtēt mācību jomas, kuras varētu pārklāties abu pasākumu ietvaros un saskaņot tās Cilvēkkapitāla attīstības padomē.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Mācību jomas, kuras varētu pārklāties abu pasākumu ietvaros tiks izvērtētas un saskaņotas Cilvēkkapitāla attīstības padomē pēc pasākuma 4.2.4.1. "Atbalsts nozaru vajadzībās balstītai pieaugušo izglītībai" MK noteikumu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"Problēmas un risinājumi/Risinājuma apraksts" lūdzam precizēt, ka darba devēji parakstīs </w:t>
            </w:r>
            <w:r w:rsidR="00000000" w:rsidRPr="00000000" w:rsidDel="00000000">
              <w:rPr>
                <w:u w:val="single"/>
                <w:rtl w:val="0"/>
              </w:rPr>
              <w:t xml:space="preserve">līgumu</w:t>
            </w:r>
            <w:r w:rsidR="00000000" w:rsidRPr="00000000" w:rsidDel="00000000">
              <w:rPr>
                <w:rtl w:val="0"/>
              </w:rPr>
              <w:t xml:space="preserve"> ar NVA, ņemot vērā, ka </w:t>
            </w:r>
            <w:r w:rsidR="00000000" w:rsidRPr="00000000" w:rsidDel="00000000">
              <w:rPr>
                <w:u w:val="single"/>
                <w:rtl w:val="0"/>
              </w:rPr>
              <w:t xml:space="preserve">sadarbības līgumi</w:t>
            </w:r>
            <w:r w:rsidR="00000000" w:rsidRPr="00000000" w:rsidDel="00000000">
              <w:rPr>
                <w:rtl w:val="0"/>
              </w:rPr>
              <w:t xml:space="preserve"> tiks parakstīti ar sadarbības partneriem.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anotācijas 1.3.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 anotācijas 1.3.sadaļas aprakstu par "Demarkācija un papildināmība ar citiem finanšu instrumentiem", tostarp attiecībā uz dubultā finansējuma risku, norādot, kādā veidā tiks gūta pārliecība, ka noteikumu projektā plānoto atbalstāmo darbību ietvaros nav konstatējama pārklāšanās ar citiem ESF+ pasākumiem (</w:t>
            </w:r>
            <w:r w:rsidR="00000000" w:rsidRPr="00000000" w:rsidDel="00000000">
              <w:rPr>
                <w:i w:val="1"/>
                <w:rtl w:val="0"/>
              </w:rPr>
              <w:t xml:space="preserve">4.3.3.2.pasākuma “Nelabvēlīgākā situācijā esošu bezdarbnieku un ekonomiski neaktīvo iedzīvotāju iekļaušanās darba tirgū sekmēšana”; 4.3.4.4. pasākuma "Sociālā dialoga attīstība, stiprinot sociālo partneru veiktspēju līdzdarboties likumdošanas, nacionālo reformu un koplīgumu slēgšanas pārrunu procesā"; 4.1.2.1. pasākuma “Nacionāla mēroga veselības veicināšanas un slimību profilakses pasākumi” un 4.1.2.2. pasākuma “Veselības veicināšanas un slimību profilakses pasākumu īstenošana vietējai sabiedrībai”</w:t>
            </w:r>
            <w:r w:rsidR="00000000" w:rsidRPr="00000000" w:rsidDel="00000000">
              <w:rPr>
                <w:rtl w:val="0"/>
              </w:rPr>
              <w:t xml:space="preserve">), kādas atšķirības, specifiku šīs darbības (darba vietas pielāgošana, izglītojoši pasākumi, veselības veicinoši pasākumi, u.c.)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anotācijas 1.3.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iestādi, kura veiks noteikumu projekta 4.2. punktā norādītā rādītāja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anotācijas 1.3.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šajā teikumā "</w:t>
            </w:r>
            <w:r w:rsidR="00000000" w:rsidRPr="00000000" w:rsidDel="00000000">
              <w:rPr>
                <w:i w:val="1"/>
                <w:rtl w:val="0"/>
              </w:rPr>
              <w:t xml:space="preserve">TA projekta netiešās izmaksas (7% apmērā no tiešajām izmaksām) indikatīvi veido</w:t>
            </w:r>
            <w:r w:rsidR="00000000" w:rsidRPr="00000000" w:rsidDel="00000000">
              <w:rPr>
                <w:rtl w:val="0"/>
              </w:rPr>
              <w:t xml:space="preserve">"  redakcionāli precizēt informāciju iekavās uz "no tiešajām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anotācijas 1.3. apakšsadaļa. Kā arī papildus skaidrojam, ka MK noteikumu anotācijā ir sniegta informāciju par ieguvumiem ciktāl tos ir iespējams noteikt monetārā izteiksmē.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2023. gada 13. jūlija sēdes protokollēmumā (prot. Nr. 36 85. § 3. punkts) noteikto SAM MK noteikumos ir jāparedz nepieciešamību finansējuma saņēmējam veikt projekta izmaksu un ieguvumu analīzi, ja projekta kopējās izmaksas ir lielākas par 1 miljonu euro, vai arī Atbildīgā iestāde SAM MK noteikumu anotācijā pamato kādēļ var nepiemērot minēto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SAM MK noteikumu projektā netiek plānots veikt izmaksu un ieguvumu analīzi un anotācijā ir norādīts ieguvumu apraksts gan ar pieņēmumu par darba mūža pagarinājumu pamatojot sociālekonomiskos ieguvumus, gan arī ar iespējamo negatīvo ietekmi uz valsts budžetu ja šis pasākums netiks īstenots, līdz ar to paskaidrojot, ka sabiedrības sociālekonomiskie ieguvumi īstenojot šo pasākumu ir lielāki par šīm investīcijām.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būtu papildināt anotāciju ar pielikumu “Izmaksu un ieguvumu analīzes aprēķini”, kurā būtu iekļauti šie pieņēmumi, dati un datu avoti, kā rezultātā salīdzinot situāciju bez projekta ar situāciju ar projektu un aprēķinot papildus diskontēto neto naudas plūsmu varētu noteikt šī pasākuma sociālekonomiskos rādītājus un pamatot, ka sabiedrības sociālekonomiskie ieguvumi īstenojot šo pasākumu ir lielāki par šīm investīcijām.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apakšsadaļa. Vēršam uzmanību, ka anotācijā ir iekļauta visu Labklājības ministrijas rīcībā esošā informācija par iespējamiem ieguvumiem no projekta īstenošanas, ciktāl tos bija iespējams noteikt monetārajā izteiksmē.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norādot konkrētu elastības finansējuma summu, kas tiek pārcelta uz 4.3.3.1.pasākumu.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Saprotam, ka šī noteikumu projekta ietvaros nav plānots noteikt elastības finansējumu, taču anotācijā būtu jāietver informāciju par konkrētiem attiecīgās prioritātes un fonda SAM, kuru ietvaros tiks noteikts elastības finansējums, </w:t>
            </w:r>
            <w:r w:rsidR="00000000" w:rsidRPr="00000000" w:rsidDel="00000000">
              <w:rPr>
                <w:b w:val="1"/>
                <w:rtl w:val="0"/>
              </w:rPr>
              <w:t xml:space="preserve">lai prioritātes un fonda līmenī būtu iespējams nodrošināt programmā noteikto elastības finansējuma apjomu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anotācijas 1.6. apakšsadaļa.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2.1. sadaļas apakšsadaļas "Juridiskās personas" atbilstošo apakšsadaļu "Ietekmes apraksts" ar informāciju par projektā iesaistītajām iestādēm. Attiecīgi lūdzam norādīt, ka Labklājības ministrija pildīs atbildīgās iestādes funkcijas, Nodarbinātības valsts aģentūra pildīs finansējuma saņēmēja funkcijas, savukārt Latvijas Brīvo arodbiedrību savienība, Latvijas Darba devēju konfederācija un Rīgas Stradiņa universitātes aģentūra "Darba drošības un vides veselības institūts" pildīs sadarbības partneru funkcijas.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anotācijas 2. sadaļas 2.1. apakšsadaļa.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uz uzņēmējdarbības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- 01.03.2024.)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vai pasākuma ietvaros neveidojas ietekme uz uzņēmējdarbības vidi ņemot vērā, ka projekta mērķis ir uzlabot nodarbināto darba vidi un darba apstākļus.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anotācijas 2. sadaļas 2.2.3. apakšsadaļa.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uz uzņēmējdarbības vidi: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anotācijas 1.3.apakšsadaļas punktā “Risinājuma apraksts” norādītās projekta īstenošanai kopējās personāla slodzes, jo, saskaitot Nodarbinātības valsts aģentūras (16), Rīgas Stradiņa universitātes aģentūras “Darba drošības un vides veselības institūts” (4,3), Latvijas Brīvo arodbiedrību savienības (2,4) un Latvijas Darba devēju konfederācijas (1,8) personāla slodzes, veidojas indikatīvi 24,5 personāla slodzes, nevis 21,3 personāla slodzes.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saņemts pirmreizēji.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anotācijas 1.3.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anotācijas 1.3.apakšsadaļas punktā “Risinājuma apraksts” norādītās projekta kopējās netiešās izmaksas, jo, saskaitot Nodarbinātības valsts aģentūras – 0,74 milj. </w:t>
            </w:r>
            <w:r w:rsidR="00000000" w:rsidRPr="00000000" w:rsidDel="00000000">
              <w:rPr>
                <w:i w:val="1"/>
                <w:rtl w:val="0"/>
              </w:rPr>
              <w:t xml:space="preserve">euro</w:t>
            </w:r>
            <w:r w:rsidR="00000000" w:rsidRPr="00000000" w:rsidDel="00000000">
              <w:rPr>
                <w:rtl w:val="0"/>
              </w:rPr>
              <w:t xml:space="preserve">, Rīgas Stradiņa universitātes aģentūras “Darba drošības un vides veselības institūts” – 0,054 milj. </w:t>
            </w:r>
            <w:r w:rsidR="00000000" w:rsidRPr="00000000" w:rsidDel="00000000">
              <w:rPr>
                <w:i w:val="1"/>
                <w:rtl w:val="0"/>
              </w:rPr>
              <w:t xml:space="preserve">euro</w:t>
            </w:r>
            <w:r w:rsidR="00000000" w:rsidRPr="00000000" w:rsidDel="00000000">
              <w:rPr>
                <w:rtl w:val="0"/>
              </w:rPr>
              <w:t xml:space="preserve">, Latvijas Brīvo arodbiedrību savienības  – 0,029 milj. </w:t>
            </w:r>
            <w:r w:rsidR="00000000" w:rsidRPr="00000000" w:rsidDel="00000000">
              <w:rPr>
                <w:i w:val="1"/>
                <w:rtl w:val="0"/>
              </w:rPr>
              <w:t xml:space="preserve">euro </w:t>
            </w:r>
            <w:r w:rsidR="00000000" w:rsidRPr="00000000" w:rsidDel="00000000">
              <w:rPr>
                <w:rtl w:val="0"/>
              </w:rPr>
              <w:t xml:space="preserve">un Latvijas Darba devēju konfederācijas – 0,021 milj. </w:t>
            </w:r>
            <w:r w:rsidR="00000000" w:rsidRPr="00000000" w:rsidDel="00000000">
              <w:rPr>
                <w:i w:val="1"/>
                <w:rtl w:val="0"/>
              </w:rPr>
              <w:t xml:space="preserve">euro </w:t>
            </w:r>
            <w:r w:rsidR="00000000" w:rsidRPr="00000000" w:rsidDel="00000000">
              <w:rPr>
                <w:rtl w:val="0"/>
              </w:rPr>
              <w:t xml:space="preserve">netiešās izmaksas, veidojas indikatīvi izmaksas 0,844 milj. </w:t>
            </w:r>
            <w:r w:rsidR="00000000" w:rsidRPr="00000000" w:rsidDel="00000000">
              <w:rPr>
                <w:i w:val="1"/>
                <w:rtl w:val="0"/>
              </w:rPr>
              <w:t xml:space="preserve">euro</w:t>
            </w:r>
            <w:r w:rsidR="00000000" w:rsidRPr="00000000" w:rsidDel="00000000">
              <w:rPr>
                <w:rtl w:val="0"/>
              </w:rPr>
              <w:t xml:space="preserve">, nevis 0,84 milj.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saņemts pirmreizēji.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anotācijas 1.3.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redakcionāli precizēt anotācijas 3.sadaļas 6.punkta 2.rindkopu, pēc vārdu saīsinājuma “ESF” lietojot vārdu “Plus”.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saņemts pirmreizēji.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anotācijas 3. sadaļas 6. punkta otrā rindkopa.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skaidrojumu par biedrībām kā vienu no iespējamajām 4.3.3.5.pasākuma mērķa grupām. Vēršam uzmanību, ka Eiropas Savienības fondu 2021.-2027.gada plānošanas perioda 4.politikas mērķa “Sociālāka Eiropa” apakškomitejas 2023.gada 26.oktobra sēdes protokolā Nr. P-2023/AK/30 Labklājības ministrijai 4.3.3.5.pasākuma MK noteikumu projekta skaņošanas procesā tika lūgts izskatīt iespēju paplašināt atbalsta saņēmēju loku, iekļaujot biedrības, kuras vienlaicīgi ir darba devēji.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nepieciešamību ievērot Ministru prezidenta rezolūcijā[1]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Prezidenta 2021.gada 7.septembra rezolūcija Nr. 2021-1.1.1./50-50 “Izstrādājot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anotācijas 2. sadaļas 2.1. apakšsadaļa.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(DVI - 20.02.2024.)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8.1.13. apakšpunktā noteikts, ka personas datu apstrāde 4.3.3.5. pasākuma ietvaros atbalstu saņēmušo mērķa grupas personu identificēšanas un uzskaites nolūkā tiks veikta, pamatojoties uz Datu regulas 6. panta 1. punkta e) apakšpunktu un noteikumu projekta 29.4. apakšpunktu. Norādām, ka normatīvais akts, kurš vēl nav spēkā, nevar kalpot kā tiesiskais pamats datu apstrādei. Konsekventi izteiktajam iebildumam par tiesību aktu projektu 23-TA-1110, aicinām anotācijā norādīt korektu tiesisko pamatu datu apstrādei, atsaucoties uz Regulas 2021/1060 4. pantu.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noteikumu projekts izstrādāts 4.3.3.5. pasākuma īstenošanai. Minētā pasākuma ietvaros veicamā personas datu apstrāde, kas ietverta noteikumu projekta 29.4. apakšpunktā, tieši un nepārprotami, kā to paredz Datu regulas 6. panta 3. punkts, citos normatīvajos aktos nav noregulēta. Proti, šajos noteikumos paredzēta jaunā personas datu apstrāde, kas vēl nav uzsākta un netiks uzsākta līdz šo noteikumu projekta spēkā stāšanas dienai.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Tiesiskais pamats personas datu apstrādei ir nosakāms tikai tad, kad to ir paredzēts uzsākt.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noteikumu projekta spēkā stāšanās dienai personas datu apstrāde nenotiks. Ievērojot, ka personas datu apstrāde tiks veikta, tikai stājoties spēkā noteikumu projektam, arī tiesisko pamatu piemēro no personas datu apstrādes uzsākšanas dienas, paredzot arī  to kādam nolūkam, kādā apjomā un uz kāda pamata datu apstrāde ir veicama. Attiecīgā noteikumu projekta norma, kas paredzēs šo apstrādi, būs arī tiesiskais pamats.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2023. gada 14. septembra diskusijā DVI pārstāvji apliecināja, ka tiesiskais pamats jaunajai personas datu apstrādei var būt tiesību norma, kas vēl nav stājusies spēkā, bet būs piemērojama ar tā spēkā stāšanās brīdi, kad tiks uzsākta arī personas datu apstrāde.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minēto, MK noteikumu projekta anotācijas 8. sadaļas 8.1.13. apakšsadaļā ir iekļauta arī DVI minēto tiesību normu kā personas datu apstrādes tiesiskais pamats.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23-TA-1537</w:t>
    </w:r>
    <w:r>
      <w:br/>
    </w:r>
    <w:r w:rsidR="00000000" w:rsidRPr="00000000" w:rsidDel="00000000">
      <w:rPr>
        <w:rtl w:val="0"/>
      </w:rPr>
      <w:t xml:space="preserve">20.06.2024. 14.04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23-TA-1537</w:t>
    </w:r>
    <w:r>
      <w:br/>
    </w:r>
    <w:r w:rsidR="00000000" w:rsidRPr="00000000" w:rsidDel="00000000">
      <w:rPr>
        <w:rtl w:val="0"/>
      </w:rPr>
      <w:t xml:space="preserve">20.06.2024. 14.04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Izziņa_23-TA-1537.docx</dc:title>
</cp:coreProperties>
</file>

<file path=docProps/custom.xml><?xml version="1.0" encoding="utf-8"?>
<Properties xmlns="http://schemas.openxmlformats.org/officeDocument/2006/custom-properties" xmlns:vt="http://schemas.openxmlformats.org/officeDocument/2006/docPropsVTypes"/>
</file>