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642" w:rsidRPr="00D55642" w:rsidRDefault="00EF455A"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bookmarkStart w:id="0" w:name="_GoBack"/>
      <w:bookmarkEnd w:id="0"/>
      <w:r>
        <w:rPr>
          <w:lang w:eastAsia="lv-LV"/>
        </w:rPr>
        <w:pict>
          <v:shapetype id="_x0000_t32" coordsize="21600,21600" o:spt="32" o:oned="t" path="m,l21600,21600e" filled="f">
            <v:path arrowok="t" fillok="f" o:connecttype="none"/>
            <o:lock v:ext="edit" shapetype="t"/>
          </v:shapetype>
          <v:shape id="_x0000_s1027" type="#_x0000_t32" style="position:absolute;left:0;text-align:left;margin-left:0;margin-top:80.55pt;width:396.85pt;height:0;z-index:251658240;mso-position-horizontal:center" o:connectortype="straight" strokeweight=".25pt">
            <w10:wrap type="square"/>
          </v:shap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alt="vienkrasu_header_veidlapa_28-1" style="position:absolute;left:0;text-align:left;margin-left:0;margin-top:0;width:425.5pt;height:76.55pt;z-index:-251659264;visibility:visible;mso-position-horizontal:center;mso-position-horizontal-relative:margin;mso-position-vertical-relative:margin">
            <v:imagedata r:id="rId8" o:title="vienkrasu_header_veidlapa_28-1"/>
            <w10:wrap type="topAndBottom" anchorx="margin" anchory="margin"/>
          </v:shape>
        </w:pict>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57444B"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06.12.2021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1-57/3251</w:t>
            </w:r>
          </w:p>
        </w:tc>
        <w:tc>
          <w:tcPr>
            <w:tcW w:w="3260" w:type="dxa"/>
            <w:hideMark/>
          </w:tcPr>
          <w:p w:rsidR="00BD3CC7" w:rsidRDefault="001B76AD">
            <w:pPr>
              <w:spacing w:after="0" w:line="240" w:lineRule="auto"/>
              <w:jc w:val="both"/>
              <w:rPr>
                <w:rFonts w:ascii="Times New Roman" w:hAnsi="Times New Roman"/>
                <w:sz w:val="28"/>
                <w:szCs w:val="24"/>
              </w:rPr>
            </w:pPr>
            <w:r>
              <w:rPr>
                <w:rFonts w:ascii="Times New Roman" w:hAnsi="Times New Roman"/>
                <w:noProof/>
                <w:sz w:val="28"/>
                <w:szCs w:val="24"/>
              </w:rPr>
              <w:t xml:space="preserve">    </w:t>
            </w:r>
            <w:r w:rsidR="00BD3CC7">
              <w:rPr>
                <w:rFonts w:ascii="Times New Roman" w:hAnsi="Times New Roman"/>
                <w:noProof/>
                <w:sz w:val="28"/>
                <w:szCs w:val="24"/>
              </w:rPr>
              <w:t>Finanšu ministrija</w:t>
            </w:r>
            <w:r w:rsidR="00564008">
              <w:rPr>
                <w:rFonts w:ascii="Times New Roman" w:hAnsi="Times New Roman"/>
                <w:noProof/>
                <w:sz w:val="28"/>
                <w:szCs w:val="24"/>
              </w:rPr>
              <w:t>i</w:t>
            </w:r>
          </w:p>
          <w:p w:rsidR="00BD3CC7" w:rsidRDefault="00BD3CC7">
            <w:pPr>
              <w:spacing w:after="0" w:line="240" w:lineRule="auto"/>
              <w:jc w:val="both"/>
              <w:rPr>
                <w:rFonts w:ascii="Times New Roman" w:hAnsi="Times New Roman"/>
                <w:sz w:val="28"/>
                <w:szCs w:val="24"/>
              </w:rPr>
            </w:pPr>
          </w:p>
        </w:tc>
      </w:tr>
      <w:tr w:rsidR="0057444B"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29.11.2021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4.1-27/20/127</w:t>
            </w:r>
          </w:p>
        </w:tc>
        <w:tc>
          <w:tcPr>
            <w:tcW w:w="3260" w:type="dxa"/>
          </w:tcPr>
          <w:p w:rsidR="00735284" w:rsidRDefault="00735284">
            <w:pPr>
              <w:spacing w:after="0" w:line="240" w:lineRule="auto"/>
              <w:jc w:val="both"/>
              <w:rPr>
                <w:rFonts w:ascii="Times New Roman" w:hAnsi="Times New Roman"/>
                <w:sz w:val="28"/>
                <w:szCs w:val="24"/>
              </w:rPr>
            </w:pPr>
          </w:p>
        </w:tc>
      </w:tr>
    </w:tbl>
    <w:p w:rsidR="00735284" w:rsidRDefault="00735284" w:rsidP="00735284">
      <w:pPr>
        <w:spacing w:after="0" w:line="240" w:lineRule="auto"/>
        <w:jc w:val="both"/>
        <w:rPr>
          <w:rFonts w:ascii="Times New Roman" w:hAnsi="Times New Roman"/>
          <w:sz w:val="24"/>
          <w:szCs w:val="24"/>
        </w:rPr>
      </w:pPr>
    </w:p>
    <w:p w:rsidR="00735284" w:rsidRDefault="00735284" w:rsidP="00735284">
      <w:pPr>
        <w:spacing w:after="0" w:line="240" w:lineRule="auto"/>
        <w:rPr>
          <w:rFonts w:ascii="Times New Roman" w:hAnsi="Times New Roman"/>
          <w:sz w:val="28"/>
          <w:szCs w:val="28"/>
        </w:rPr>
      </w:pPr>
    </w:p>
    <w:p w:rsidR="001B76AD"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Par precizēto  Ministru  kabineta  </w:t>
      </w:r>
    </w:p>
    <w:p w:rsidR="001B76AD"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noteikumu projektu  “Grāmatvedības  </w:t>
      </w:r>
    </w:p>
    <w:p w:rsidR="00735284"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kārtošanas  noteikumi”  (VSS-755)</w:t>
      </w:r>
    </w:p>
    <w:p w:rsidR="001B76AD" w:rsidRPr="00320697" w:rsidRDefault="001B76AD" w:rsidP="00735284">
      <w:pPr>
        <w:widowControl/>
        <w:tabs>
          <w:tab w:val="left" w:pos="-1701"/>
        </w:tabs>
        <w:spacing w:after="0" w:line="240" w:lineRule="auto"/>
        <w:rPr>
          <w:rFonts w:ascii="Times New Roman" w:eastAsia="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C37483" w:rsidRDefault="00C37483" w:rsidP="00121221">
      <w:pPr>
        <w:spacing w:after="0" w:line="240" w:lineRule="auto"/>
        <w:ind w:firstLine="720"/>
        <w:jc w:val="both"/>
        <w:rPr>
          <w:rFonts w:ascii="Times New Roman" w:eastAsia="Times New Roman" w:hAnsi="Times New Roman"/>
          <w:sz w:val="28"/>
          <w:szCs w:val="28"/>
        </w:rPr>
      </w:pPr>
      <w:r w:rsidRPr="009D2A7B">
        <w:rPr>
          <w:rFonts w:ascii="Times New Roman" w:eastAsia="Times New Roman" w:hAnsi="Times New Roman"/>
          <w:sz w:val="28"/>
          <w:szCs w:val="28"/>
        </w:rPr>
        <w:t xml:space="preserve">Iekšlietu ministrija ir izskatījusi </w:t>
      </w:r>
      <w:r>
        <w:rPr>
          <w:rFonts w:ascii="Times New Roman" w:eastAsia="Times New Roman" w:hAnsi="Times New Roman"/>
          <w:sz w:val="28"/>
          <w:szCs w:val="28"/>
        </w:rPr>
        <w:t xml:space="preserve">Finanšu ministrijas sagatavoto precizēto Ministru kabineta </w:t>
      </w:r>
      <w:r w:rsidRPr="00DC4EFF">
        <w:rPr>
          <w:rFonts w:ascii="Times New Roman" w:eastAsia="Times New Roman" w:hAnsi="Times New Roman"/>
          <w:sz w:val="28"/>
          <w:szCs w:val="28"/>
        </w:rPr>
        <w:t>noteikumu projektu “</w:t>
      </w:r>
      <w:r>
        <w:rPr>
          <w:rFonts w:ascii="Times New Roman" w:eastAsia="Times New Roman" w:hAnsi="Times New Roman"/>
          <w:sz w:val="28"/>
          <w:szCs w:val="28"/>
        </w:rPr>
        <w:t>Grāmatvedības kārtošanas noteikumi</w:t>
      </w:r>
      <w:r w:rsidRPr="00DC4EFF">
        <w:rPr>
          <w:rFonts w:ascii="Times New Roman" w:eastAsia="Times New Roman" w:hAnsi="Times New Roman"/>
          <w:sz w:val="28"/>
          <w:szCs w:val="28"/>
        </w:rPr>
        <w:t>”</w:t>
      </w:r>
      <w:r>
        <w:rPr>
          <w:rFonts w:ascii="Times New Roman" w:eastAsia="Times New Roman" w:hAnsi="Times New Roman"/>
          <w:sz w:val="28"/>
          <w:szCs w:val="28"/>
        </w:rPr>
        <w:t xml:space="preserve">  </w:t>
      </w:r>
    </w:p>
    <w:p w:rsidR="00C37483" w:rsidRDefault="00C37483" w:rsidP="00C37483">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(turpmāk – precizētais noteikumu projekts) un </w:t>
      </w:r>
      <w:r w:rsidRPr="004C28A7">
        <w:rPr>
          <w:rFonts w:ascii="Times New Roman" w:eastAsia="Times New Roman" w:hAnsi="Times New Roman"/>
          <w:sz w:val="28"/>
          <w:szCs w:val="28"/>
        </w:rPr>
        <w:t>tā sākotnējās ietekmes novērtējuma ziņojumu (anotāciju)</w:t>
      </w:r>
      <w:r>
        <w:rPr>
          <w:rFonts w:ascii="Times New Roman" w:eastAsia="Times New Roman" w:hAnsi="Times New Roman"/>
          <w:sz w:val="28"/>
          <w:szCs w:val="28"/>
        </w:rPr>
        <w:t>, un atbalsta to tālāku virzību, vienlaikus izsakot šādu iebildumu.</w:t>
      </w:r>
    </w:p>
    <w:p w:rsidR="00C37483" w:rsidRDefault="00121221" w:rsidP="00C37483">
      <w:pPr>
        <w:spacing w:after="0" w:line="240" w:lineRule="auto"/>
        <w:ind w:firstLine="720"/>
        <w:jc w:val="both"/>
        <w:rPr>
          <w:rFonts w:ascii="Times New Roman" w:hAnsi="Times New Roman"/>
          <w:sz w:val="28"/>
          <w:szCs w:val="28"/>
        </w:rPr>
      </w:pPr>
      <w:r>
        <w:rPr>
          <w:rFonts w:ascii="Times New Roman" w:eastAsia="Times New Roman" w:hAnsi="Times New Roman"/>
          <w:sz w:val="28"/>
          <w:szCs w:val="28"/>
        </w:rPr>
        <w:t>Ministru kabineta 2004.gada 26.</w:t>
      </w:r>
      <w:r w:rsidR="00C37483">
        <w:rPr>
          <w:rFonts w:ascii="Times New Roman" w:eastAsia="Times New Roman" w:hAnsi="Times New Roman"/>
          <w:sz w:val="28"/>
          <w:szCs w:val="28"/>
        </w:rPr>
        <w:t xml:space="preserve">oktobra noteikumu Nr.887 “Valsts noslēpumu objektu saraksts” nosaka informāciju un citu par valsts noslēpumu atzīto objektu sarakstu, to apjomu un saturu. Saskaņā ar  minētajiem noteikumiem par valsts noslēpumu ir atzīstama informācija </w:t>
      </w:r>
      <w:r w:rsidR="00F664BC">
        <w:rPr>
          <w:rFonts w:ascii="Times New Roman" w:eastAsia="Times New Roman" w:hAnsi="Times New Roman"/>
          <w:sz w:val="28"/>
          <w:szCs w:val="28"/>
        </w:rPr>
        <w:t xml:space="preserve">par </w:t>
      </w:r>
      <w:r w:rsidR="00C37483">
        <w:rPr>
          <w:rFonts w:ascii="Times New Roman" w:eastAsia="Times New Roman" w:hAnsi="Times New Roman"/>
          <w:sz w:val="28"/>
          <w:szCs w:val="28"/>
        </w:rPr>
        <w:t>valsts drošības iestāžu struktūru, bruņojumu, finansēm, materiāltehnisko nodrošinājumu un tā iegādi, informācija par valsts drošības iestāžu štatiem un personālsastāvu, tai skaitā informācija par valsts drošības iestāžu amatu sarakstiem un darbinieku faktisko skaitu, kā arī to personu lietām, kuras strādā valsts drošības iestādēs un cita valsts noslēpumu saturoša informācija, kas attiecināma uz valsts drošības un operatīvās darbības iestādi vai struktūrvienību.</w:t>
      </w:r>
    </w:p>
    <w:p w:rsidR="00C37483" w:rsidRDefault="00C37483" w:rsidP="00C37483">
      <w:pPr>
        <w:spacing w:after="0" w:line="240" w:lineRule="auto"/>
        <w:jc w:val="both"/>
        <w:rPr>
          <w:rFonts w:ascii="Times New Roman" w:hAnsi="Times New Roman"/>
          <w:sz w:val="28"/>
          <w:szCs w:val="28"/>
        </w:rPr>
      </w:pPr>
      <w:r>
        <w:rPr>
          <w:rFonts w:ascii="Times New Roman" w:hAnsi="Times New Roman"/>
          <w:sz w:val="28"/>
          <w:szCs w:val="28"/>
        </w:rPr>
        <w:t xml:space="preserve">         Ņemot vērā valsts drošības iestādes kompetenci, kas aptver  valsts drošības aizsardzību un noziedzīgu nodarījumu valsts drošības jomā izmeklēšanu, drošības iestādē izmantotā grāmatvedības datorprogramma satur daudz plašāk</w:t>
      </w:r>
      <w:r w:rsidR="00F664BC">
        <w:rPr>
          <w:rFonts w:ascii="Times New Roman" w:hAnsi="Times New Roman"/>
          <w:sz w:val="28"/>
          <w:szCs w:val="28"/>
        </w:rPr>
        <w:t>u</w:t>
      </w:r>
      <w:r>
        <w:rPr>
          <w:rFonts w:ascii="Times New Roman" w:hAnsi="Times New Roman"/>
          <w:sz w:val="28"/>
          <w:szCs w:val="28"/>
        </w:rPr>
        <w:t xml:space="preserve"> informācijas apjomu, nekā tas būtu nepieciešams grāmatvedības jomu regulējošos normatīvajos aktos paredzētās kontrolējošās institūcijas vai revīzijas (audita) pārbaudes veikšanai.</w:t>
      </w:r>
    </w:p>
    <w:p w:rsidR="00C37483" w:rsidRDefault="00C37483" w:rsidP="00C37483">
      <w:pPr>
        <w:spacing w:after="0" w:line="240" w:lineRule="auto"/>
        <w:jc w:val="both"/>
        <w:rPr>
          <w:rFonts w:ascii="Times New Roman" w:hAnsi="Times New Roman"/>
          <w:sz w:val="28"/>
          <w:szCs w:val="28"/>
        </w:rPr>
      </w:pPr>
      <w:r>
        <w:rPr>
          <w:rFonts w:ascii="Times New Roman" w:hAnsi="Times New Roman"/>
          <w:sz w:val="28"/>
          <w:szCs w:val="28"/>
        </w:rPr>
        <w:tab/>
        <w:t xml:space="preserve">Likuma “Par valsts noslēpumu” 9.panta pirmā daļa noteic, ka pieeja valsts noslēpumam ir atļauta tikai tām personām, kurām saskaņā ar amata (dienesta) pienākumiem vai konkrētu darba (dienesta) uzdevumu ir nepieciešams  veikt darbu, kas saistīts ar valsts noslēpuma izmantošanu vai tā aizsardzību, un kuras </w:t>
      </w:r>
      <w:r>
        <w:rPr>
          <w:rFonts w:ascii="Times New Roman" w:hAnsi="Times New Roman"/>
          <w:sz w:val="28"/>
          <w:szCs w:val="28"/>
        </w:rPr>
        <w:lastRenderedPageBreak/>
        <w:t>saskaņā ar šo likumu ir saņēmušas speciālas atļaujas. No minētās likuma normas secināms, ka persona, kurai piešķirta pieeja valsts noslēpumam, izmanto pieeju valsts noslēpumam tikai tādā apjomā, kādā to paredz amata pienākumi, lai veiktu no normatīvajiem aktiem izrietošās funkcijas, t.i., šajā normā ietverts princips “vajadzība zināt”. Minētā likuma 12.panta sestā daļa paredz, ka  valsts noslēpumu aizliegts izmantot citiem mērķiem, kā vienīgi savu amata(dienesta) pienākumu veikšanai vai konkrētu darba uzdevumu pildīšanai.</w:t>
      </w:r>
    </w:p>
    <w:p w:rsidR="00C37483" w:rsidRDefault="00C37483" w:rsidP="00C37483">
      <w:pPr>
        <w:spacing w:after="0" w:line="240" w:lineRule="auto"/>
        <w:jc w:val="both"/>
        <w:rPr>
          <w:rFonts w:ascii="Times New Roman" w:hAnsi="Times New Roman"/>
          <w:sz w:val="28"/>
          <w:szCs w:val="28"/>
        </w:rPr>
      </w:pPr>
      <w:r>
        <w:rPr>
          <w:rFonts w:ascii="Times New Roman" w:hAnsi="Times New Roman"/>
          <w:sz w:val="28"/>
          <w:szCs w:val="28"/>
        </w:rPr>
        <w:tab/>
        <w:t>Līdz ar to, nodrošinot piekļuvi drošības iestāžu grāmatvedības datiem pēc kontrolējošās institūcijas vai revīzijas (audita) vai pārbaudes veicēju pieprasījuma normatīvajos aktos paredzētās revīzijās (audita)  vai pārbaudes veikšanai, attiecīgajām personām tiktu nodrošināta piekļuve ne tikai tam informācijas apjomam, kas nepieciešams amata pienākumu veikšanai, bet gan daudz plašākai informācijai, kura ir aizsargājam</w:t>
      </w:r>
      <w:r w:rsidR="00BC20B8">
        <w:rPr>
          <w:rFonts w:ascii="Times New Roman" w:hAnsi="Times New Roman"/>
          <w:sz w:val="28"/>
          <w:szCs w:val="28"/>
        </w:rPr>
        <w:t>a</w:t>
      </w:r>
      <w:r>
        <w:rPr>
          <w:rFonts w:ascii="Times New Roman" w:hAnsi="Times New Roman"/>
          <w:sz w:val="28"/>
          <w:szCs w:val="28"/>
        </w:rPr>
        <w:t>, un tās nonākšana plašāka personu loka rīcībā apdraud drošības  iestāžu pamatfunkcijas valsts aizsardzības interešu īstenošanā.</w:t>
      </w:r>
    </w:p>
    <w:p w:rsidR="00C37483" w:rsidRDefault="00C37483" w:rsidP="00C37483">
      <w:pPr>
        <w:spacing w:after="0" w:line="240" w:lineRule="auto"/>
        <w:jc w:val="both"/>
        <w:rPr>
          <w:rFonts w:ascii="Times New Roman" w:hAnsi="Times New Roman"/>
          <w:sz w:val="28"/>
          <w:szCs w:val="28"/>
        </w:rPr>
      </w:pPr>
      <w:r>
        <w:rPr>
          <w:rFonts w:ascii="Times New Roman" w:hAnsi="Times New Roman"/>
          <w:sz w:val="28"/>
          <w:szCs w:val="28"/>
        </w:rPr>
        <w:tab/>
        <w:t xml:space="preserve">Ņemot vērā iepriekš minēto, lūdzam svītrot precizētā  noteikumu projekta 59.punktu vai izteikt to citā redakcijā. </w:t>
      </w:r>
    </w:p>
    <w:p w:rsidR="00C37483" w:rsidRDefault="00C37483" w:rsidP="00C37483">
      <w:pPr>
        <w:spacing w:after="0" w:line="240" w:lineRule="auto"/>
        <w:jc w:val="both"/>
        <w:rPr>
          <w:rFonts w:ascii="Times New Roman" w:hAnsi="Times New Roman"/>
          <w:sz w:val="28"/>
          <w:szCs w:val="28"/>
        </w:rPr>
      </w:pPr>
    </w:p>
    <w:p w:rsidR="00516C5E" w:rsidRDefault="00516C5E" w:rsidP="00735284">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650"/>
        <w:gridCol w:w="4651"/>
      </w:tblGrid>
      <w:tr w:rsidR="0057444B" w:rsidTr="00735284">
        <w:tc>
          <w:tcPr>
            <w:tcW w:w="4650" w:type="dxa"/>
            <w:hideMark/>
          </w:tcPr>
          <w:p w:rsidR="00735284" w:rsidRDefault="00735284">
            <w:pPr>
              <w:spacing w:after="0" w:line="240" w:lineRule="auto"/>
              <w:rPr>
                <w:rFonts w:ascii="Times New Roman" w:hAnsi="Times New Roman"/>
                <w:sz w:val="28"/>
                <w:szCs w:val="28"/>
              </w:rPr>
            </w:pPr>
            <w:r>
              <w:rPr>
                <w:rFonts w:ascii="Times New Roman" w:hAnsi="Times New Roman"/>
                <w:noProof/>
                <w:sz w:val="28"/>
                <w:szCs w:val="28"/>
              </w:rPr>
              <w:t>Valsts sekretārs</w:t>
            </w:r>
          </w:p>
        </w:tc>
        <w:tc>
          <w:tcPr>
            <w:tcW w:w="4651" w:type="dxa"/>
            <w:hideMark/>
          </w:tcPr>
          <w:p w:rsidR="00735284" w:rsidRDefault="00735284">
            <w:pPr>
              <w:spacing w:after="0" w:line="240" w:lineRule="auto"/>
              <w:jc w:val="right"/>
              <w:rPr>
                <w:rFonts w:ascii="Times New Roman" w:hAnsi="Times New Roman"/>
                <w:sz w:val="28"/>
                <w:szCs w:val="28"/>
              </w:rPr>
            </w:pPr>
            <w:r>
              <w:rPr>
                <w:rFonts w:ascii="Times New Roman" w:hAnsi="Times New Roman"/>
                <w:noProof/>
                <w:sz w:val="28"/>
                <w:szCs w:val="28"/>
              </w:rPr>
              <w:t>Dimitrijs Trofimovs</w:t>
            </w:r>
          </w:p>
        </w:tc>
      </w:tr>
    </w:tbl>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5B2673" w:rsidRDefault="005B2673" w:rsidP="00735284">
      <w:pPr>
        <w:spacing w:after="0" w:line="240" w:lineRule="auto"/>
        <w:rPr>
          <w:rFonts w:ascii="Times New Roman" w:hAnsi="Times New Roman"/>
          <w:sz w:val="28"/>
          <w:szCs w:val="28"/>
        </w:rPr>
      </w:pPr>
    </w:p>
    <w:p w:rsidR="005B2673" w:rsidRDefault="005B2673" w:rsidP="00735284">
      <w:pPr>
        <w:spacing w:after="0" w:line="240" w:lineRule="auto"/>
        <w:rPr>
          <w:rFonts w:ascii="Times New Roman" w:hAnsi="Times New Roman"/>
          <w:sz w:val="28"/>
          <w:szCs w:val="28"/>
        </w:rPr>
      </w:pPr>
    </w:p>
    <w:p w:rsidR="005B2673" w:rsidRDefault="005B2673" w:rsidP="00735284">
      <w:pPr>
        <w:spacing w:after="0" w:line="240" w:lineRule="auto"/>
        <w:rPr>
          <w:rFonts w:ascii="Times New Roman" w:hAnsi="Times New Roman"/>
          <w:sz w:val="28"/>
          <w:szCs w:val="28"/>
        </w:rPr>
      </w:pPr>
    </w:p>
    <w:p w:rsidR="005B2673" w:rsidRDefault="005B2673" w:rsidP="00735284">
      <w:pPr>
        <w:spacing w:after="0" w:line="240" w:lineRule="auto"/>
        <w:rPr>
          <w:rFonts w:ascii="Times New Roman" w:hAnsi="Times New Roman"/>
          <w:sz w:val="28"/>
          <w:szCs w:val="28"/>
        </w:rPr>
      </w:pPr>
    </w:p>
    <w:p w:rsidR="005B2673" w:rsidRDefault="005B2673" w:rsidP="00735284">
      <w:pPr>
        <w:spacing w:after="0" w:line="240" w:lineRule="auto"/>
        <w:rPr>
          <w:rFonts w:ascii="Times New Roman" w:hAnsi="Times New Roman"/>
          <w:sz w:val="28"/>
          <w:szCs w:val="28"/>
        </w:rPr>
      </w:pPr>
    </w:p>
    <w:p w:rsidR="005B2673" w:rsidRDefault="005B2673" w:rsidP="00735284">
      <w:pPr>
        <w:spacing w:after="0" w:line="240" w:lineRule="auto"/>
        <w:rPr>
          <w:rFonts w:ascii="Times New Roman" w:hAnsi="Times New Roman"/>
          <w:sz w:val="28"/>
          <w:szCs w:val="28"/>
        </w:rPr>
      </w:pPr>
    </w:p>
    <w:p w:rsidR="005B2673" w:rsidRDefault="005B2673" w:rsidP="00735284">
      <w:pPr>
        <w:spacing w:after="0" w:line="240" w:lineRule="auto"/>
        <w:rPr>
          <w:rFonts w:ascii="Times New Roman" w:hAnsi="Times New Roman"/>
          <w:sz w:val="28"/>
          <w:szCs w:val="28"/>
        </w:rPr>
      </w:pPr>
    </w:p>
    <w:p w:rsidR="00EF39F9" w:rsidRDefault="00EF39F9" w:rsidP="00EF39F9">
      <w:pPr>
        <w:spacing w:after="0" w:line="240" w:lineRule="auto"/>
        <w:rPr>
          <w:rFonts w:ascii="Times New Roman" w:hAnsi="Times New Roman"/>
          <w:sz w:val="28"/>
          <w:szCs w:val="28"/>
        </w:rPr>
      </w:pPr>
    </w:p>
    <w:p w:rsidR="00EF39F9" w:rsidRPr="005B2673" w:rsidRDefault="00EF39F9" w:rsidP="00EF39F9">
      <w:pPr>
        <w:spacing w:after="0" w:line="240" w:lineRule="auto"/>
        <w:rPr>
          <w:rFonts w:ascii="Times New Roman" w:hAnsi="Times New Roman"/>
        </w:rPr>
      </w:pPr>
      <w:r w:rsidRPr="005B2673">
        <w:rPr>
          <w:rFonts w:ascii="Times New Roman" w:hAnsi="Times New Roman"/>
          <w:noProof/>
        </w:rPr>
        <w:t>Ludmila Gailīte</w:t>
      </w:r>
      <w:r w:rsidRPr="005B2673">
        <w:rPr>
          <w:rFonts w:ascii="Times New Roman" w:hAnsi="Times New Roman"/>
        </w:rPr>
        <w:t xml:space="preserve">, </w:t>
      </w:r>
      <w:r w:rsidRPr="005B2673">
        <w:rPr>
          <w:rFonts w:ascii="Times New Roman" w:hAnsi="Times New Roman"/>
          <w:noProof/>
        </w:rPr>
        <w:t>67219613</w:t>
      </w:r>
    </w:p>
    <w:p w:rsidR="00EF39F9" w:rsidRPr="005B2673" w:rsidRDefault="00EF39F9" w:rsidP="00EF39F9">
      <w:pPr>
        <w:spacing w:after="0" w:line="240" w:lineRule="auto"/>
        <w:rPr>
          <w:rFonts w:ascii="Times New Roman" w:hAnsi="Times New Roman"/>
        </w:rPr>
      </w:pPr>
      <w:r w:rsidRPr="005B2673">
        <w:rPr>
          <w:rFonts w:ascii="Times New Roman" w:hAnsi="Times New Roman"/>
          <w:noProof/>
        </w:rPr>
        <w:t>ludmila.gailite@iem.gov.lv</w:t>
      </w:r>
    </w:p>
    <w:p w:rsidR="00EF39F9" w:rsidRPr="005B2673" w:rsidRDefault="00EF39F9" w:rsidP="00EF39F9">
      <w:pPr>
        <w:spacing w:after="0" w:line="240" w:lineRule="auto"/>
        <w:rPr>
          <w:rFonts w:ascii="Times New Roman" w:hAnsi="Times New Roman"/>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p w:rsidR="00651581" w:rsidRDefault="00651581" w:rsidP="002D736B">
      <w:pPr>
        <w:widowControl/>
        <w:spacing w:after="0" w:line="240" w:lineRule="auto"/>
        <w:rPr>
          <w:rFonts w:ascii="Times New Roman" w:hAnsi="Times New Roman"/>
          <w:sz w:val="18"/>
          <w:szCs w:val="18"/>
        </w:rPr>
      </w:pPr>
    </w:p>
    <w:p w:rsidR="004367B9" w:rsidRPr="00651581" w:rsidRDefault="004367B9" w:rsidP="002D736B">
      <w:pPr>
        <w:widowControl/>
        <w:spacing w:after="0" w:line="240" w:lineRule="auto"/>
        <w:rPr>
          <w:rFonts w:ascii="Times New Roman" w:hAnsi="Times New Roman"/>
          <w:sz w:val="18"/>
          <w:szCs w:val="18"/>
        </w:rPr>
      </w:pPr>
    </w:p>
    <w:sectPr w:rsidR="004367B9" w:rsidRPr="00651581"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D60" w:rsidRDefault="003B1D60">
      <w:pPr>
        <w:spacing w:after="0" w:line="240" w:lineRule="auto"/>
      </w:pPr>
      <w:r>
        <w:separator/>
      </w:r>
    </w:p>
  </w:endnote>
  <w:endnote w:type="continuationSeparator" w:id="0">
    <w:p w:rsidR="003B1D60" w:rsidRDefault="003B1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7B9" w:rsidRPr="004367B9" w:rsidRDefault="004367B9" w:rsidP="004367B9">
    <w:pPr>
      <w:pStyle w:val="Footer"/>
      <w:jc w:val="center"/>
      <w:rPr>
        <w:rFonts w:ascii="Times New Roman" w:hAnsi="Times New Roman"/>
      </w:rPr>
    </w:pPr>
  </w:p>
  <w:p w:rsidR="00EF455A" w:rsidRPr="00EF455A" w:rsidRDefault="00EF455A" w:rsidP="00EF455A">
    <w:pPr>
      <w:tabs>
        <w:tab w:val="center" w:pos="4320"/>
        <w:tab w:val="right" w:pos="8640"/>
      </w:tabs>
      <w:spacing w:after="0" w:line="240" w:lineRule="auto"/>
      <w:rPr>
        <w:rFonts w:ascii="Times New Roman" w:hAnsi="Times New Roman"/>
      </w:rPr>
    </w:pPr>
    <w:r w:rsidRPr="00EF455A">
      <w:rPr>
        <w:rFonts w:ascii="Times New Roman" w:hAnsi="Times New Roman"/>
      </w:rPr>
      <w:t>IEMatz_prec_061221_VSS-755</w:t>
    </w:r>
  </w:p>
  <w:p w:rsidR="004367B9" w:rsidRDefault="00436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55A" w:rsidRPr="00EF455A" w:rsidRDefault="00EF455A">
    <w:pPr>
      <w:pStyle w:val="Footer"/>
      <w:rPr>
        <w:rFonts w:ascii="Times New Roman" w:hAnsi="Times New Roman"/>
      </w:rPr>
    </w:pPr>
    <w:r w:rsidRPr="00EF455A">
      <w:rPr>
        <w:rFonts w:ascii="Times New Roman" w:hAnsi="Times New Roman"/>
      </w:rPr>
      <w:t>IEMatz_prec_061221_VSS-755</w:t>
    </w:r>
  </w:p>
  <w:p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D60" w:rsidRDefault="003B1D60">
      <w:pPr>
        <w:spacing w:after="0" w:line="240" w:lineRule="auto"/>
      </w:pPr>
      <w:r>
        <w:separator/>
      </w:r>
    </w:p>
  </w:footnote>
  <w:footnote w:type="continuationSeparator" w:id="0">
    <w:p w:rsidR="003B1D60" w:rsidRDefault="003B1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7B9" w:rsidRPr="004367B9" w:rsidRDefault="004367B9" w:rsidP="004367B9">
    <w:pPr>
      <w:pStyle w:val="Header"/>
      <w:jc w:val="center"/>
      <w:rPr>
        <w:rFonts w:ascii="Times New Roman" w:hAnsi="Times New Roman"/>
      </w:rPr>
    </w:pPr>
  </w:p>
  <w:p w:rsidR="004367B9" w:rsidRDefault="00436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7B9" w:rsidRPr="004367B9" w:rsidRDefault="004367B9" w:rsidP="004367B9">
    <w:pPr>
      <w:pStyle w:val="Header"/>
      <w:jc w:val="center"/>
      <w:rPr>
        <w:rFonts w:ascii="Times New Roman" w:hAnsi="Times New Roman"/>
      </w:rPr>
    </w:pPr>
  </w:p>
  <w:p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oNotTrackMoves/>
  <w:defaultTabStop w:val="720"/>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E1474"/>
    <w:rsid w:val="00006384"/>
    <w:rsid w:val="00016577"/>
    <w:rsid w:val="000169CE"/>
    <w:rsid w:val="00030349"/>
    <w:rsid w:val="000466E7"/>
    <w:rsid w:val="00053C57"/>
    <w:rsid w:val="000660AE"/>
    <w:rsid w:val="00092CB0"/>
    <w:rsid w:val="000D541A"/>
    <w:rsid w:val="000F65BB"/>
    <w:rsid w:val="00121221"/>
    <w:rsid w:val="00121F6E"/>
    <w:rsid w:val="00124173"/>
    <w:rsid w:val="00127E58"/>
    <w:rsid w:val="00132130"/>
    <w:rsid w:val="00167E01"/>
    <w:rsid w:val="001B76AD"/>
    <w:rsid w:val="001C365A"/>
    <w:rsid w:val="001D69F2"/>
    <w:rsid w:val="001E5591"/>
    <w:rsid w:val="00217C7E"/>
    <w:rsid w:val="00275B9E"/>
    <w:rsid w:val="0027749D"/>
    <w:rsid w:val="002A46F1"/>
    <w:rsid w:val="002B3077"/>
    <w:rsid w:val="002D736B"/>
    <w:rsid w:val="002E1474"/>
    <w:rsid w:val="00306D11"/>
    <w:rsid w:val="00320697"/>
    <w:rsid w:val="00332C67"/>
    <w:rsid w:val="00335032"/>
    <w:rsid w:val="00373D36"/>
    <w:rsid w:val="00392F3F"/>
    <w:rsid w:val="003B199A"/>
    <w:rsid w:val="003B1D60"/>
    <w:rsid w:val="003B2519"/>
    <w:rsid w:val="004073C2"/>
    <w:rsid w:val="004367B9"/>
    <w:rsid w:val="00444EF8"/>
    <w:rsid w:val="00472AFF"/>
    <w:rsid w:val="00493308"/>
    <w:rsid w:val="004C28A7"/>
    <w:rsid w:val="0051400B"/>
    <w:rsid w:val="00516C5E"/>
    <w:rsid w:val="00520A93"/>
    <w:rsid w:val="00535564"/>
    <w:rsid w:val="00564008"/>
    <w:rsid w:val="0057444B"/>
    <w:rsid w:val="0058129F"/>
    <w:rsid w:val="005A1BCB"/>
    <w:rsid w:val="005A7660"/>
    <w:rsid w:val="005B2673"/>
    <w:rsid w:val="005C346B"/>
    <w:rsid w:val="005C74ED"/>
    <w:rsid w:val="00606767"/>
    <w:rsid w:val="00612BE7"/>
    <w:rsid w:val="00651581"/>
    <w:rsid w:val="006616D2"/>
    <w:rsid w:val="00663C3A"/>
    <w:rsid w:val="00670E89"/>
    <w:rsid w:val="006B01C5"/>
    <w:rsid w:val="006C1639"/>
    <w:rsid w:val="006D7CB6"/>
    <w:rsid w:val="006E7CDB"/>
    <w:rsid w:val="006F1F22"/>
    <w:rsid w:val="0070473F"/>
    <w:rsid w:val="00735284"/>
    <w:rsid w:val="0074324D"/>
    <w:rsid w:val="007704BD"/>
    <w:rsid w:val="007A47FD"/>
    <w:rsid w:val="007B3BA5"/>
    <w:rsid w:val="007B482B"/>
    <w:rsid w:val="007B48EC"/>
    <w:rsid w:val="007E4D1F"/>
    <w:rsid w:val="00815277"/>
    <w:rsid w:val="00876177"/>
    <w:rsid w:val="00876C21"/>
    <w:rsid w:val="0088699D"/>
    <w:rsid w:val="00887D85"/>
    <w:rsid w:val="008A5CC3"/>
    <w:rsid w:val="008D13B4"/>
    <w:rsid w:val="0095403B"/>
    <w:rsid w:val="00954D5A"/>
    <w:rsid w:val="00996108"/>
    <w:rsid w:val="009B0210"/>
    <w:rsid w:val="009D2A7B"/>
    <w:rsid w:val="009F01EE"/>
    <w:rsid w:val="00A12967"/>
    <w:rsid w:val="00A27A9F"/>
    <w:rsid w:val="00A44201"/>
    <w:rsid w:val="00A9424B"/>
    <w:rsid w:val="00AD474F"/>
    <w:rsid w:val="00B04502"/>
    <w:rsid w:val="00B72FB2"/>
    <w:rsid w:val="00B91CD1"/>
    <w:rsid w:val="00BC20B8"/>
    <w:rsid w:val="00BD3CC7"/>
    <w:rsid w:val="00BD6774"/>
    <w:rsid w:val="00BE2617"/>
    <w:rsid w:val="00C31207"/>
    <w:rsid w:val="00C37483"/>
    <w:rsid w:val="00C47F57"/>
    <w:rsid w:val="00C80A36"/>
    <w:rsid w:val="00C9108F"/>
    <w:rsid w:val="00C95BBC"/>
    <w:rsid w:val="00CE17EE"/>
    <w:rsid w:val="00CE607C"/>
    <w:rsid w:val="00CF3A42"/>
    <w:rsid w:val="00D21FA6"/>
    <w:rsid w:val="00D442EB"/>
    <w:rsid w:val="00D55642"/>
    <w:rsid w:val="00D55B4B"/>
    <w:rsid w:val="00DB76AE"/>
    <w:rsid w:val="00DC2F13"/>
    <w:rsid w:val="00DC4EFF"/>
    <w:rsid w:val="00DD194F"/>
    <w:rsid w:val="00DD656A"/>
    <w:rsid w:val="00DF6135"/>
    <w:rsid w:val="00E365CE"/>
    <w:rsid w:val="00E40CFB"/>
    <w:rsid w:val="00E436D8"/>
    <w:rsid w:val="00E84CE3"/>
    <w:rsid w:val="00E86986"/>
    <w:rsid w:val="00EC3999"/>
    <w:rsid w:val="00EE1DAE"/>
    <w:rsid w:val="00EF3368"/>
    <w:rsid w:val="00EF39F9"/>
    <w:rsid w:val="00EF455A"/>
    <w:rsid w:val="00F05AE8"/>
    <w:rsid w:val="00F14C3F"/>
    <w:rsid w:val="00F45E39"/>
    <w:rsid w:val="00F52301"/>
    <w:rsid w:val="00F60586"/>
    <w:rsid w:val="00F664BC"/>
    <w:rsid w:val="00FA7179"/>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rules v:ext="edit">
        <o:r id="V:Rule1" type="connector" idref="#_x0000_s1027"/>
      </o:rules>
    </o:shapelayout>
  </w:shapeDefaults>
  <w:decimalSymbol w:val=","/>
  <w:listSeparator w:val=";"/>
  <w14:docId w14:val="6F38EF58"/>
  <w15:chartTrackingRefBased/>
  <w15:docId w15:val="{F870F1BF-FCA4-42A4-90E5-68D009618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55A"/>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6E3C8-64FB-4CAD-B8A2-AEFC961F1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2203</Words>
  <Characters>1257</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Ministru kabineta noteikumu projekts "Grāmatvedības kārtošanas noteikumi"</vt:lpstr>
    </vt:vector>
  </TitlesOfParts>
  <Company>Iekšlietu ministrija</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"Grāmatvedības kārtošanas noteikumi"</dc:title>
  <dc:subject>atzinums</dc:subject>
  <dc:creator>Ludmila Gailīte</dc:creator>
  <cp:keywords/>
  <dc:description>67219613_x000d_
ludmila.gailite@iem.gov.lv</dc:description>
  <cp:lastModifiedBy>Gunta Majevska</cp:lastModifiedBy>
  <cp:revision>3</cp:revision>
  <cp:lastPrinted>2021-01-22T08:28:00Z</cp:lastPrinted>
  <dcterms:created xsi:type="dcterms:W3CDTF">2021-12-07T08:47:00Z</dcterms:created>
  <dcterms:modified xsi:type="dcterms:W3CDTF">2021-12-07T08:51:00Z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