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445 "Noteikumi par valsts un Eiropas Savienības atbalsta piešķiršanu pasākumā "Kompensācijas zivsaimniecībā ārkārtas gadījumos""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metālu un kartonu, ko izmanto zvejas un akvakultūras produktu iepakošanai, un dīzeļdegvielu apkurei – šo noteikumu </w:t>
            </w:r>
            <w:r w:rsidR="00000000" w:rsidRPr="00000000" w:rsidDel="00000000">
              <w:rPr>
                <w:rtl w:val="0"/>
              </w:rPr>
              <w:t xml:space="preserve">6.2.</w:t>
            </w:r>
            <w:r w:rsidR="00000000" w:rsidRPr="00000000" w:rsidDel="00000000">
              <w:rPr>
                <w:rtl w:val="0"/>
              </w:rPr>
              <w:t xml:space="preserve"> apakšpunktā minētais pretendents;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kāpēc noteikumu projektā ir piešķirts papildu atbalsts dīzeļdegvielas apkurei. Norādām, ka apkurei var izmantot citus kurināmā veidus. Tādējādi atbalsta pretendenti, kuri izmato dīzeļdegvielu apkurei, tiek nostādīti labākā stāvoklī, nekā tie, kuri izmato citu kurināmo. Pamatojoties uz minēto, lūdzam noteikumu projekta 11.3. apakšpunktā iekļaut arī citus kurināmā veidus apkurei vai arī pamatot nevienlīdzīgo attieksmi.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dīzeļdegvielu apkurei, jo atbilstoši apkopotajai informācijai šāds resurss atsevišķos zivsaimniecības uzņēmumos tiek piemērots ražošanas procesa nodrošināšanai.  Attiecīgais ierosinājums tika diskutēts un tā ietveršana MKN tika atbalstīta šā gada 14. septembra Zivsaimniecības konsultatīvās padomes (turpmāk – ZKP) sēdē. Zvejas produktu apstrādes uzņēmumiem, kas izmanto dīzeļdegvielu ražotņu darbības nodrošināšanai, uzreiz nav iespējams pārorientēties uz citiem resursu veidiem, tāpēc cenu pieauguma daļējai kompensēšanai tiek paredzēts  atbalsts noteikumu Nr.445 ietvaros. Jāņem vērā tas, ka pieejamais publiskais finansējums atbalsta pasākumam ir ierobežots un atbalsts noteikumos ir paredzēts tām pozīcijām, kuras primāri ir nepieciešamas zivsaimniecības nozarei. Zemkopības ministrijas funkcija ir izstrādāt zivsaimniecības politiku, tai skaitā attiecībā uz valsts un Eiropas Savienības atbalstu un attiecīgi noteikumu projekts ietver izvēli, ko primāri ir nepieciešams atbalstīt. Tiesības saņemt Eiropas Savienības atbalstu nav absolūtas, bet tā ir priekšrocība, kas izmantojama tikai attiecībā uz tiesību normā paredzētajām kompensējamām pozīcijām.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metālu un kartonu, ko izmanto zvejas un akvakultūras produktu iepakošanai, un dīzeļdegvielu apkurei – šo noteikumu </w:t>
            </w:r>
            <w:r w:rsidR="00000000" w:rsidRPr="00000000" w:rsidDel="00000000">
              <w:rPr>
                <w:rtl w:val="0"/>
              </w:rPr>
              <w:t xml:space="preserve">6.2.</w:t>
            </w:r>
            <w:r w:rsidR="00000000" w:rsidRPr="00000000" w:rsidDel="00000000">
              <w:rPr>
                <w:rtl w:val="0"/>
              </w:rPr>
              <w:t xml:space="preserve"> apakšpunktā minētais pretendents;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saistībā ar grozījumiem, kas paredz atbalsta paplašināšanu, sniegt papildu skaidrojumu pēc būtības, proti, plašāk skaidrot Zivsaimniecības konsultatīvās padomes sēdē pieņemto lēmumu, kas norādīts kā pamatojums šī noteikumu projekta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projekta īstenošana tiks nodrošināta sākotnēji plānotā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22-TA-2793</w:t>
    </w:r>
    <w:r>
      <w:br/>
    </w:r>
    <w:r w:rsidR="00000000" w:rsidRPr="00000000" w:rsidDel="00000000">
      <w:rPr>
        <w:rtl w:val="0"/>
      </w:rPr>
      <w:t xml:space="preserve">30.09.2022. 08.08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22-TA-2793</w:t>
    </w:r>
    <w:r>
      <w:br/>
    </w:r>
    <w:r w:rsidR="00000000" w:rsidRPr="00000000" w:rsidDel="00000000">
      <w:rPr>
        <w:rtl w:val="0"/>
      </w:rPr>
      <w:t xml:space="preserve">30.09.2022. 08.08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Izziņa_22-TA-2793.docx</dc:title>
</cp:coreProperties>
</file>

<file path=docProps/custom.xml><?xml version="1.0" encoding="utf-8"?>
<Properties xmlns="http://schemas.openxmlformats.org/officeDocument/2006/custom-properties" xmlns:vt="http://schemas.openxmlformats.org/officeDocument/2006/docPropsVTypes"/>
</file>