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25-TA-825: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Cilvēku tirdzniecības novēršanas plāns 2025. - 2027.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un citām no valsts budžeta finansētām institūcijām plānā paredzēto pasākumu īstenošanu 2025. gadā nodrošināt no tām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projektā ir iekļauti pasākumi, kuru īstenošana ir paredzēta arī 2026. un 2027.gadā, kā arī atbilstoši 2025.gada 15.aprīlī Ministru kabinetā apstiprinātajam Latvijas Fiskāli strukturālā plāna 2025.-2028.gadam 2025.gada Progresa ziņojumam valsts budžeta fiskālā telpa turpmākajiem gadiem ir negatīva un saskaņā ar Ministru kabineta 2025.gada 13.maija protokola Nr.19 50.§ 7.punktu ir noteikts veikt  publiskā sektora efektivizācijas un vispārējās valdības izdevumu samazinājumu ne mazāk kā 450 milj. euro apmērā 2026.-2028. gadā , tajā skaitā 2026. gadā ne mazāk kā 150 milj. euro, kā arī saskaņā ar Ministru kabineta 2025. gada 27. marta rīkojuma Nr. 179 "Par likumprojekta "Par valsts budžetu 2026. gadam un budžeta ietvaru 2026., 2027. un 2028. gadam" sagatavošanas grafiku" 3.¹ punktu ministrijām un citām centrālajām valsts iestādēm noteikts nesniegt priekšlikumus prioritārajiem pasākumiem, ministrijām un citām centrālajām iestādēm finansējums plānošanas dokumentu īstenošanai jārod esošā finansējuma ietvaros, pārskatot un optimizējot esošos līdzekļus, lūdzam precizēt Ministru kabineta rīkojuma projekta 2.punktu, norādot, ka arī 2026. un 2027.gadā iesaistītās institūcijas Plāna projektā paredzēto pasākumu īstenošanu nodrošinās no tām piešķirtajiem valsts budžeta līdzekļiem, kā tas ir norādīts arī Plāna sadaļas “Kopsavilkums” pēdējā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protokollēmuma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un citām no valsts budžeta finansētām institūcijām plānā paredzēto pasākumu īstenošanu 2025., 2026. un 2027. gadā nodrošināt no tām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25.6. punktam plānā jānorāda pasākumu izpildei pieejamo, kā arī papildus nepieciešamo finansējumu, pievienojot detalizētus aprēķinus par ietekmi uz valsts budžetu un pašvaldību budžetiem atbilstoši normatīvajam aktam par tiesību akta sākotnējās ietekmes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Tālab, papildus sniegtajām ziņām par pasākumu 5. un 6.1. ietekmi uz budžetu, aicinām precizēt arī to, vai visu pārējo pasākumu izpildei ir pieejams pietiekams budžeta finansējums un nav nepieciešams papildu finansējums 2025., 2026. un 2027.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 pasākumu plāna 6. sadaļa, norādot informāciju par visiem plānā iekļautajiem pasākumiem un to budžetu. Plāna 5. un 6.1. (pašreiz 6. un 7.1.) pasākumiem pievienots detalizēts aprēķins.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projektā iekļautie pasākumi ir paredzēti ne tikai Labklājības ministrijai, precizējams Plāna projekts, aizpildot 6.sadaļas “Ietekmes novērtējums uz valsts un pašvaldību budžetu” tabulu, norādot informāciju par visām iesaistītajām institūcijām, tajā skaitā iekļaujot informāciju par  budžeta programmas (apakšprogrammas) kodu un nosaukumu, kā arī pasākumu izpildei pieejamo finansējumu. Vienlaikus zem minētās tabulas atsaucē sniedzama informācija, ja konkrētajam pasākumam nevar izdalīt konkrēto finansējuma apmēru no kopējā attiecīgajā budžeta programmā/apakšprogrammā plānotā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 pasākumu plāna 6. sadaļa, norādot informāciju par visiem plānā iekļautajiem pasākumiem un to budžetu. Pārstrādāta pasākumu plāna 6. sadaļa, norādot informāciju par visiem plānā iekļautajiem pasākumiem un to budžetu. Plāna 5. un 6.1. (pašreiz 6. un 7.1.) pasākumiem pievienots detalizēts aprēķins.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projekta 6.sadaļas tabulai Labklājības ministrijas 6. un 7.1.pasākumam norādīts, ka  finansējums plānots vidēja termiņa budžeta ietvara likumā (t.i. pārdalot to ar Finanšu ministrijas rīkojumu), lūdzam precizēt plāna projekta sadaļas “Kopsavilkums” pēdējo rindkopu, svītrojot tekstu “izņemot divus pasākumus 101 898,68 euro apmērā, kuru īstenošanai ir piesaistīts papildu finansējums no Noziedzīgi iegūto līdzekļu konfiskācijas fonda (pasākums Nr. 6) un Eiropas Sociālā Fonda Plus programmas (pasākums Nr. 7.1). Viens uzdevums ar ieplānotu papildu finansējumu ir cilvēku tirdzniecības atpazīšanas jeb skrīninga rīka izstrāde, bet otrs pasākums ar papildu finansējumu ir prakses izspēle cilvēku tirdzniecības atpazīšanai un atklāšanai darba ekspluatācijas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rindkopas daļa kopsavilkumā dzēsta.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7.4.punkts paredz mācību programmas izstrādi sociālajiem un jaunatnes darbiniekiem par cilvēku tirdzniecības atpazīšanu un rīcību. Atbildīgais-LPMC, līdzatbildīgais -Iekšlietu ministrija. Pasākums plānots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programma tiks izstrādāta.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piesaistītu lektorus, ir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nosakot mācību maksu par ko segt lektoru izmaksas,  ir ļoti liels risks, ka  grupas nenokomplektēsies un tas nerezultēsies optimālā iznākumā.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esošo budžeta situāciju visos līmeņos,  tomēr rosinām atkārtoti šo 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teksts pārveidots, norādot, ka tiks izvērtētas iespējas šāda mācību moduļa izstrādei un piedāvāšanai.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6.sadaļā precizēt: Ārlietu ministrija Pieejamā budžeta ietvaros (97.00.00 "Nozaru vadība un politikas plānošana")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budžeta programma.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(Sieviešu sadarbības tīkls - 08.07.2025.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teksta precizējumu ziņojumā, norādot pakalpojumu sniedzējos, rindojot tos tekstā pēc pakalpojumu izstrādes un nodrošināšanas prioritātes: "Pakalpojuma sniedzēji - pieredzējuši NVO ( "Patvērums "Drošā māja"", "Centrs MARTA",) nodrošina pakalpojumus un iesaistās starptautiskos projektos."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plānu papildināt ar norādi, kādā veidā zināšanas, kas iegūtas mācībās, un mācību materiāli, piemēram CEPOL, EIROPOL pasākumos vai Latvijā organizētās mācībās, tiks izplatīti plašākam ekspertu lokam un interesentiem, piemēram, kurās interneta vietnēs tie būs atrodami, kā arī kā notiks zināšanu pārnese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pieredzējuši NVO ("Centrs MARTA", “Patvērums "Drošā māja"”) nodrošina pakalpojumus un iesaistās starptautiskos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šo priekšlikumu: "Lūdzam plānu papildināt ar norādi, kādā veidā zināšanas, kas iegūtas mācībās, un mācību materiāli, piemēram CEPOL, EIROPOL pasākumos vai Latvijā organizētās mācībās, tiks izplatīti plašākam ekspertu lokam un interesentiem, piemēram, kurās interneta vietnēs tie būs atrodami, kā arī kā notiks zināšanu pārnese institūcijās." norādām, ka visas iekļautās apmācības jau pēc būtības paredz zināšanu pārnesi un apmaiņu starp speciālistiem un institūcijām. Tāpat iegūtās zināšanas tiek izmantotas darbam ar mērķa grupām. Informācija atrodama: cilvektirdznieciba.lv.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3.2. darbības rezultāta rezultatīvajā rādītājā norādīto jēdzienu "moldāvu" aizstāt ar "rumāņu", ievērojot Moldovas Republikas valsts valodas oficiālo nosaukumu. Aicinām šo ņemt vērā arī, ja darbības rezultātā norādītajā materiālā tiek minēts šīs valodas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Sagatavoti un iztulkoti materiāli uzbeku, tadžiku, kirgīzu, kazaku, rumāņu, hindi, urdu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valoda no moldāvu uz rumāņu.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25.5. punktam plāna projektā termiņus pasākumu īstenošanai nosaka ar precizitāti līdz pusgadam. Tālab aicinām 9. un 10. uzdevumos noteikt visus nepieciešamos termiņus ne plašākus kā līdz pirmajam vai otrajam pusgadam. Iesakām 9. uzdevumam noteikt vairākus termiņus līdz katra plāna darbības gada 31. decembrim, savukārt 10. uzdevumam līdz katram plāna darbības gada 30. jūlijam.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un 10. pasākumam noteikts termiņš 31.12.2027.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11. lappusē iekļauto saīsinājumu sarakstu pārcelt uz plāna sākumu, iekļaujot arī pārējā plānā izmantotos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saīsinājumus plāna 1.lapā, visu iestāžu saīsinājumu ir jālieto visā tekstā, kas Plāna aprakstošo sadaļu padara grūtāk uztveramu, tādēļ saīsinājumi iekļauti tikai plāna pasākumu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 lappusē uzskaitītos izvērtējumus norādīt ar saitēm zemsvītras piezīmēs, lai uzlabotu informācijas pieejamību, kā arī precizēt 13. zemsvītras piezīmi.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Saites uz izvērtējumiem iekļautas zemsvītras atsaucē.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6.sadaļā norādīt Labklājības ministrijas 5. un 6.1.pasākuma kopsummu 2025.gadam. Vienlaikus lūdzam aizpildīt tabulas kopsavilkuma daļu, norādot kopējo finansējumu plāna realizācijai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un norādīta kopējā summa.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projektu ar sadaļu “Izmantoto saīsinājumu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saīsinājumus plāna 1.lapā, visu iestāžu saīsinājumu ir jālieto visā tekstā, kas Plāna aprakstošo sadaļu padara grūtāk uztveramu, tādēļ saīsinājumi iekļauti tikai plāna pasākumu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6.sadaļas 6.1.pasākumam “Īstenota prakses izspēle cilvēku tirdzniecības darbaspēka ekspluatācijas atklāšanas jomā” norādīt LM pamatbudžeta 63.08.00 apakšprogrammas “Eiropas Sociālā fonda Plus (ESF+) projektu un pasākumu īstenošana (2021–2027)”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(pašreizējā 7.1.) pasākuma zemsvītrā iekļauta atsauca uz projekta pilno nosuakumu: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4.3.3.7. pasākuma “Valsts darba inspekcijas veiktspējas stiprināšana un pakalpojumu modernizēšana”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lappusē pie riska grupām noteikti var atzīmēt arī bērnus un jauniešus, kuri atrodas ārpusģimenes aprūpē vai apgūst kādu no speciālās izglītības programmām (internātskolas). Šīm personu grupām ir lielāks risks kļūt par cilvēku tirdzniecības upuriem, kas lielā mērā saistīts ar informācijas trūkumu jeb nezināšanu un risku neidentificēšanu, jo šķietami nevainīgas sarunas un “draudzības” rezultējas savervēšanā. Arī Amerikas Savienoto Valstu Valsts departaments un citas starptautiskas organizācijas izcēlušas un norādījušas Latvijai uz šo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lappusē pie 4. punkta "Politikas koordinācija" attiecībā uz neatkarīgā ziņotāja izveidi Latvijā un/vai 16. lappusē pie 11. pasākuma "Neatkarīgā ziņotāja funkcijas izveide Latvijā saskaņā ar Direktīvu (ES) 2024/1712" nepieciešams uzsvērt to, ka šādas funkcijas ieviešana tiesībsarga institūcijā ir iespējama tikai tad, ja tiek nodrošināts papildu adekvāts finansējums un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 rīcības virziena būtu nepieciešams iekļaut pasākumu par sociālās rehabilitācijas pakalpojuma cilvēku tirdzniecības upuriem darbības termiņa pagarināšanu pēc šobrīd normatīvi noteiktajām 180 dienām, īpaši attiecībā uz psiholoģisko palīdzību, gadījumos, kas saistīti ar bērnu tirdzniecību vai īpaši smagiem ekspluatācijas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 rīcības virziena būtu nepieciešams iekļaut pasākumu, kas netika līdz galam paveikts iepriekšējā plāna ietvaros, proti, izvērtēt likuma “Par cilvēku tirdzniecības upura uzturēšanos Latvijas Republikā” atbilstību Direktīvas 2004/81/EK prasībām un cilvēku tirdzniecības upuru labākajām interesēm. Piemēram, izvērtēt regulējumu attiecībā uz nogaidīšanas perioda piešķiršanas kārtību, kā arī vērtēt, vai nogaidīšanas periodu noteikt ilgāku par 30 dienām, īpaši nepilngadīgo cilvēku tirdzniecības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 rīcības virziena ir apsverams iekļaut pasākumu par Vadlīniju cilvēku tirdzniecības un darbaspēka ekspluatācijas risku novēršanai publiskajos iepirkumos izstrādi un publicitāti.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 lpp papildināta ar jaunu riska grupu: "Nepilngadīgas personas, kas atrodas ārpusģimenes aprūpē vai apgūst kādu no speciālās izglītības programmām (internātskolas)."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11. pasākums: "</w:t>
            </w:r>
            <w:r w:rsidR="00000000" w:rsidRPr="00000000" w:rsidDel="00000000">
              <w:rPr>
                <w:b w:val="1"/>
                <w:rtl w:val="0"/>
              </w:rPr>
              <w:t xml:space="preserve">Sagatavots priekšlikums </w:t>
            </w:r>
            <w:r w:rsidR="00000000" w:rsidRPr="00000000" w:rsidDel="00000000">
              <w:rPr>
                <w:rtl w:val="0"/>
              </w:rPr>
              <w:t xml:space="preserve">neatkarīgā ziņotāja funkcijas izveide Latvijā saskaņā ar Direktīvu (ES) 2024/1712", kā arī iekļauta zemsvītras atsauce, skaidrojot, ka priekšlikuma sagatavošanai nav nepieciešams papildu finansējums, savukārt funkcijas izveidei nepieciešamais finansējums tiks aprēķināts priekšlikuma ietvarā.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Plānā nav iekļauts pasākums par 180 dienu sociālā rehabilitācijas pakalpojuma pagarināšanu, jo tam ir nepieciešams papildu finansējums, bet saskaņā ar Ministru kabineta 2025. gada 27. marta rīkojuma Nr. 179 "Par likumprojekta "Par valsts budžetu 2026. gadam un budžeta ietvaru 2026., 2027. un 2028. gadam" sagatavošanas grafiku" 3.¹ punktu ministrijām un citām centrālajām valsts iestādēm noteikts nesniegt priekšlikumus prioritārajiem pasākumiem, ministrijām un citām centrālajām iestādēm finansējums plānošanas dokumentu īstenošanai jārod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iekļauts pasākums par normatīvā regulējuma vērtēšanu saistībā ar nogaidīšanas perioda pagarināšanu ilgāk par 30 dienām, kā tas pašreiz ir noteikts likumā "Par cilvēku tirdzniecības upura uzturēšanos Latvijas Republikā". Pasākums nav iekļauts, vērtējot Iekšlietu ministrijas resursu un kapacitāti veikt vēl vienu izvērtējumu un sagatavot normatīvo regulējumu papildus paredzētajai kapacitāte, kas ir nepieciešama Direktīvas 2024/1712 transponēšana Latvijas normatīvajā regulējumā. Tāpat jānorāda, ka saskaņā ar statistikas datiem nepieciešamība izsniegt nogaidīšanas periodu 2024. gadā bija 2 personām, bet 2023. un 2022. gadā šāda nepieciešamība nebija. Līdz ar to, vērtējot kapacitāti un prioritātes, šī pasākuma aktualizācija plānota nākamajā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Plāns papildināts ar jaunu pasākumu - "4. Izstrādāt vadlīnijas cilvēku tirdzniecības un darbaspēka ekspluatācijas risku novēršanai publiskajos iepirkumos."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papildināt 6.4. punktu "Izstrādāta mācību programma pašvaldību sociālajiem darbiniekiem par cilvēku tirdzniecības atpazīšanu un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Izstrādāta mācību programma pašvaldību sociālajiem </w:t>
            </w:r>
            <w:r w:rsidR="00000000" w:rsidRPr="00000000" w:rsidDel="00000000">
              <w:rPr>
                <w:b w:val="1"/>
                <w:rtl w:val="0"/>
              </w:rPr>
              <w:t xml:space="preserve">un jaunatnes</w:t>
            </w:r>
            <w:r w:rsidR="00000000" w:rsidRPr="00000000" w:rsidDel="00000000">
              <w:rPr>
                <w:rtl w:val="0"/>
              </w:rPr>
              <w:t xml:space="preserve"> darbiniekiem par cilvēku tirdzniecības atpazīšanu un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Redakcijas papildināta, pasākumā iekļaujot arī jaunatnes darbiniekus.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25-TA-825</w:t>
    </w:r>
    <w:r>
      <w:br/>
    </w:r>
    <w:r w:rsidR="00000000" w:rsidRPr="00000000" w:rsidDel="00000000">
      <w:rPr>
        <w:rtl w:val="0"/>
      </w:rPr>
      <w:t xml:space="preserve">01.08.2025. 11.54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25-TA-825</w:t>
    </w:r>
    <w:r>
      <w:br/>
    </w:r>
    <w:r w:rsidR="00000000" w:rsidRPr="00000000" w:rsidDel="00000000">
      <w:rPr>
        <w:rtl w:val="0"/>
      </w:rPr>
      <w:t xml:space="preserve">01.08.2025. 11.54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Izziņa_25-TA-825.docx</dc:title>
</cp:coreProperties>
</file>

<file path=docProps/custom.xml><?xml version="1.0" encoding="utf-8"?>
<Properties xmlns="http://schemas.openxmlformats.org/officeDocument/2006/custom-properties" xmlns:vt="http://schemas.openxmlformats.org/officeDocument/2006/docPropsVTypes"/>
</file>