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25-TA-57: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novembra noteikumos Nr. 635 "Elektroenerģijas tirdzniecības un lietošanas noteikumi"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>
              <w:left w:val="nil"/>
              <w:right w:val="nil"/>
            </w:tcBorders>
          </w:tcPr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sz w:val="28"/>
                <w:b w:val="1"/>
                <w:rtl w:val="0"/>
              </w:rPr>
            </w:pPr>
            <w:r w:rsidR="00000000" w:rsidRPr="00000000" w:rsidDel="00000000">
              <w:rPr>
                <w:sz w:val="28"/>
                <w:b w:val="1"/>
                <w:rtl w:val="0"/>
              </w:rPr>
              <w:t xml:space="preserve"/>
            </w:r>
            <w:r w:rsidR="00000000" w:rsidRPr="00000000" w:rsidDel="00000000">
              <w:rPr>
                <w:sz w:val="28"/>
                <w:b w:val="1"/>
                <w:rtl w:val="0"/>
              </w:rPr>
              <w:t xml:space="preserve">1.0 Likumi.lv (01.04.2025.)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- 07.02.2025.)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redakcionāli precizēt anotācijas 3.sadaļas punktā “Cita informācija” sniegto informāciju.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projekta izpilde tiks nodrošināta Klimata un enerģētikas ministrijai un Enerģētikas un vides aģentūrai piešķirto valsts budžeta līdzekļu ietvaros.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Klimata un enerģētikas ministrija ir ņēmusi vērā Finanšu ministrijas priekšlikumu un precizējusi attiecīgo sākotnējās ietekmes izvērtējuma (anotācijas) sadaļu.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25-TA-57</w:t>
    </w:r>
    <w:r>
      <w:br/>
    </w:r>
    <w:r w:rsidR="00000000" w:rsidRPr="00000000" w:rsidDel="00000000">
      <w:rPr>
        <w:rtl w:val="0"/>
      </w:rPr>
      <w:t xml:space="preserve">17.02.2025. 16.08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25-TA-57</w:t>
    </w:r>
    <w:r>
      <w:br/>
    </w:r>
    <w:r w:rsidR="00000000" w:rsidRPr="00000000" w:rsidDel="00000000">
      <w:rPr>
        <w:rtl w:val="0"/>
      </w:rPr>
      <w:t xml:space="preserve">17.02.2025. 16.08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