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988082A" w14:textId="77777777" w:rsidR="00BA1372" w:rsidRDefault="00804036">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1764"/>
        <w:gridCol w:w="6547"/>
        <w:gridCol w:w="3713"/>
        <w:gridCol w:w="1793"/>
      </w:tblGrid>
      <w:tr w:rsidR="00BA1372" w14:paraId="4586C3B2" w14:textId="77777777" w:rsidTr="71E6D9CD">
        <w:tc>
          <w:tcPr>
            <w:tcW w:w="750" w:type="dxa"/>
            <w:shd w:val="clear" w:color="auto" w:fill="FFFFFF" w:themeFill="background1"/>
            <w:noWrap/>
            <w:tcMar>
              <w:top w:w="75" w:type="dxa"/>
              <w:left w:w="75" w:type="dxa"/>
              <w:bottom w:w="75" w:type="dxa"/>
              <w:right w:w="75" w:type="dxa"/>
            </w:tcMar>
            <w:vAlign w:val="center"/>
          </w:tcPr>
          <w:p w14:paraId="62ADEE39" w14:textId="77777777" w:rsidR="00BA1372" w:rsidRDefault="00804036" w:rsidP="00FC1626">
            <w:pPr>
              <w:jc w:val="center"/>
            </w:pPr>
            <w:r>
              <w:rPr>
                <w:b/>
              </w:rPr>
              <w:t>Nr.p.k.</w:t>
            </w:r>
          </w:p>
        </w:tc>
        <w:tc>
          <w:tcPr>
            <w:tcW w:w="1764" w:type="dxa"/>
            <w:shd w:val="clear" w:color="auto" w:fill="FFFFFF" w:themeFill="background1"/>
            <w:noWrap/>
            <w:tcMar>
              <w:top w:w="75" w:type="dxa"/>
              <w:left w:w="75" w:type="dxa"/>
              <w:bottom w:w="75" w:type="dxa"/>
              <w:right w:w="75" w:type="dxa"/>
            </w:tcMar>
            <w:vAlign w:val="center"/>
          </w:tcPr>
          <w:p w14:paraId="4598FF09" w14:textId="77777777" w:rsidR="00BA1372" w:rsidRDefault="00804036">
            <w:pPr>
              <w:jc w:val="center"/>
            </w:pPr>
            <w:r>
              <w:rPr>
                <w:b/>
              </w:rPr>
              <w:t>Iebilduma / priekšlikuma iesniedzējs</w:t>
            </w:r>
          </w:p>
        </w:tc>
        <w:tc>
          <w:tcPr>
            <w:tcW w:w="6547" w:type="dxa"/>
            <w:shd w:val="clear" w:color="auto" w:fill="FFFFFF" w:themeFill="background1"/>
            <w:noWrap/>
            <w:tcMar>
              <w:top w:w="75" w:type="dxa"/>
              <w:left w:w="75" w:type="dxa"/>
              <w:bottom w:w="75" w:type="dxa"/>
              <w:right w:w="75" w:type="dxa"/>
            </w:tcMar>
            <w:vAlign w:val="center"/>
          </w:tcPr>
          <w:p w14:paraId="197CDF8D" w14:textId="77777777" w:rsidR="00BA1372" w:rsidRDefault="00804036">
            <w:pPr>
              <w:jc w:val="center"/>
            </w:pPr>
            <w:r>
              <w:rPr>
                <w:b/>
              </w:rPr>
              <w:t>Iesniegtā iebilduma / priekšlikuma būtība</w:t>
            </w:r>
          </w:p>
        </w:tc>
        <w:tc>
          <w:tcPr>
            <w:tcW w:w="3713" w:type="dxa"/>
            <w:shd w:val="clear" w:color="auto" w:fill="FFFFFF" w:themeFill="background1"/>
            <w:noWrap/>
            <w:tcMar>
              <w:top w:w="75" w:type="dxa"/>
              <w:left w:w="75" w:type="dxa"/>
              <w:bottom w:w="75" w:type="dxa"/>
              <w:right w:w="75" w:type="dxa"/>
            </w:tcMar>
            <w:vAlign w:val="center"/>
          </w:tcPr>
          <w:p w14:paraId="6698F18C" w14:textId="77777777" w:rsidR="00BA1372" w:rsidRDefault="00804036">
            <w:pPr>
              <w:jc w:val="center"/>
            </w:pPr>
            <w:r>
              <w:rPr>
                <w:b/>
              </w:rPr>
              <w:t>Ņemts vērā / nav ņemts vērā</w:t>
            </w:r>
          </w:p>
        </w:tc>
        <w:tc>
          <w:tcPr>
            <w:tcW w:w="1793" w:type="dxa"/>
            <w:shd w:val="clear" w:color="auto" w:fill="FFFFFF" w:themeFill="background1"/>
            <w:noWrap/>
            <w:tcMar>
              <w:top w:w="75" w:type="dxa"/>
              <w:left w:w="75" w:type="dxa"/>
              <w:bottom w:w="75" w:type="dxa"/>
              <w:right w:w="75" w:type="dxa"/>
            </w:tcMar>
            <w:vAlign w:val="center"/>
          </w:tcPr>
          <w:p w14:paraId="14777316" w14:textId="77777777" w:rsidR="00BA1372" w:rsidRDefault="00804036">
            <w:pPr>
              <w:jc w:val="center"/>
            </w:pPr>
            <w:r>
              <w:rPr>
                <w:b/>
              </w:rPr>
              <w:t>Pamatojums, ja iebildums / priekšlikums nav ņemts vērā</w:t>
            </w:r>
          </w:p>
        </w:tc>
      </w:tr>
      <w:tr w:rsidR="00BA1372" w14:paraId="69962452" w14:textId="77777777" w:rsidTr="71E6D9CD">
        <w:tc>
          <w:tcPr>
            <w:tcW w:w="750" w:type="dxa"/>
            <w:shd w:val="clear" w:color="auto" w:fill="FFFFFF" w:themeFill="background1"/>
            <w:noWrap/>
            <w:tcMar>
              <w:top w:w="75" w:type="dxa"/>
              <w:left w:w="75" w:type="dxa"/>
              <w:bottom w:w="75" w:type="dxa"/>
              <w:right w:w="75" w:type="dxa"/>
            </w:tcMar>
            <w:vAlign w:val="center"/>
          </w:tcPr>
          <w:p w14:paraId="5E0E600D" w14:textId="77777777" w:rsidR="00BA1372" w:rsidRDefault="00804036" w:rsidP="00FC1626">
            <w:pPr>
              <w:jc w:val="center"/>
            </w:pPr>
            <w:r>
              <w:t>1.</w:t>
            </w:r>
          </w:p>
        </w:tc>
        <w:tc>
          <w:tcPr>
            <w:tcW w:w="1764" w:type="dxa"/>
            <w:shd w:val="clear" w:color="auto" w:fill="FFFFFF" w:themeFill="background1"/>
            <w:noWrap/>
            <w:tcMar>
              <w:top w:w="75" w:type="dxa"/>
              <w:left w:w="75" w:type="dxa"/>
              <w:bottom w:w="75" w:type="dxa"/>
              <w:right w:w="75" w:type="dxa"/>
            </w:tcMar>
            <w:vAlign w:val="center"/>
          </w:tcPr>
          <w:p w14:paraId="6887AB23" w14:textId="77777777" w:rsidR="00BA1372" w:rsidRDefault="00804036">
            <w:pPr>
              <w:jc w:val="left"/>
            </w:pPr>
            <w:r>
              <w:t>Biedrība "Latvijas Informācijas un komunikācijas tehnoloģijas asociācija", Inese Krilova</w:t>
            </w:r>
          </w:p>
        </w:tc>
        <w:tc>
          <w:tcPr>
            <w:tcW w:w="6547" w:type="dxa"/>
            <w:shd w:val="clear" w:color="auto" w:fill="FFFFFF" w:themeFill="background1"/>
            <w:noWrap/>
            <w:tcMar>
              <w:top w:w="75" w:type="dxa"/>
              <w:left w:w="75" w:type="dxa"/>
              <w:bottom w:w="75" w:type="dxa"/>
              <w:right w:w="75" w:type="dxa"/>
            </w:tcMar>
            <w:vAlign w:val="center"/>
          </w:tcPr>
          <w:p w14:paraId="37BD4471" w14:textId="77777777" w:rsidR="00BA1372" w:rsidRDefault="00804036">
            <w:pPr>
              <w:jc w:val="left"/>
            </w:pPr>
            <w:r>
              <w:t>Latvijas Informācijas un komunikācijas tehnoloģijas asociācija (turpmāk - LIKTA) aicina pārskatīt 4.punktā norādītos,  pasākuma ietvaros līdz 2029. gada 31.decembrim sasniedzamos,  uzraudzības rādītājus, proti, punktu 4.3. nacionālo rādītāju - nodarbinātas personas ar zemu izglītības līmeni (pabeigta vai nepabeigta pamatizglītība vai vispārējā vidējā izglītība), nodarbinātie, kuri pārstāv mājsaimniecību, kurai ir piešķirts maznodrošinātas vai trūcīgas mājsaimniecības statuss, kā arī bēgļi un personas ar alternatīvo statusu, kuras saņēmušas Eiropas Sociālā fonda Plus atbalstu (personu skaits) - 14 000, kas veido 50% no kopējā iznākumu rādītāja.</w:t>
            </w:r>
            <w:r>
              <w:br/>
              <w:t xml:space="preserve">Vēršam uzmanību, ka atbalsta pasākuma mērķis ir nodarbināto prasmju paaugstināšana un profesionālās kvalifikācijas ieguve vai pārkvalifikācija, </w:t>
            </w:r>
            <w:r>
              <w:rPr>
                <w:b/>
                <w:u w:val="single"/>
              </w:rPr>
              <w:t>lai uzlabotu darba spēka kvalitāti un kapacitāti, pilnveidotu nodarbināto personu profesionālo kompetenci atbilstoši darba tirgus vajadzībām,</w:t>
            </w:r>
            <w:r>
              <w:t xml:space="preserve"> veicinātu nodarbināto spēju efektīvāk pielāgoties mainīgajiem </w:t>
            </w:r>
            <w:r>
              <w:lastRenderedPageBreak/>
              <w:t>darba apstākļiem, tādējādi nodrošinot nodarbināto noturību darba tirgū, kā arī līdzdalības palielināšana pieaugušo izglītībā.</w:t>
            </w:r>
            <w:r>
              <w:br/>
            </w:r>
            <w:r>
              <w:br/>
              <w:t>Tādēļ norādām, ka nodarbinātie ar pabeigtu vai nepabeigtu pamatizglītību vai vispārējo vidējo izglītību veido tikai 28,1% no visiem nodarbinātajiem (Avots: Ekonomikas ministrijas informatīvais ziņojums par darba tirgus vidējām un ilgtermiņa prognozēm, 2022). [1] Savukārt zems digitālo prasmju līmenis ir 49.7% iedzīvotāju (vecumā 16 līdz 74 gadi) (Avots: DESI indekss 2023)[2], kas norāda, ka zems digitālo prasmju līmenis nav tikai cilvēkiem ar zemu izglītības līmeni.</w:t>
            </w:r>
            <w:r>
              <w:br/>
            </w:r>
            <w:r>
              <w:br/>
              <w:t>Lai nodrošinātu vienlīdzīgu piekļuvi iekļaujošai un kvalitatīvai digitālajai izglītībai un apmācībai, LIKTA aicina ievērot samērīgumu un sasniedzamā rādītāja proporcionalitāti, 4.3. punktā nosakot sasniedzamo rādītāju 7840 personas jeb 28%.</w:t>
            </w:r>
            <w:r>
              <w:br/>
            </w:r>
            <w:r>
              <w:br/>
              <w:t xml:space="preserve">Ir ļoti būtiski, lai digitālās tehnoloģijas tiktu izmantotas visās nozarēs. Darbaspēka zemajai produktivitātei un digitālo prasmju trūkumam ir horizontāls raksturs, turklāt tas nav saistīts tikai ar izglītības līmeni, bet tieši ar spēju pielietot tehnoloģijas attiecīgajā nozarē, kas būtiski kāpinātu produktivitāti. Digitālo prasmju trūkums vērojams dažādu nozaru, dažādu līmeņu specialistiem, kuriem ir augstākā izglītība savā nozarē, </w:t>
            </w:r>
            <w:r>
              <w:lastRenderedPageBreak/>
              <w:t>taču būtiski trūkst digitālo kompetenču.</w:t>
            </w:r>
            <w:r>
              <w:br/>
            </w:r>
            <w:r>
              <w:br/>
              <w:t>Augsti novērtējam un atbalstām iedzīvotāju, ar zemu izglītības līmeni un no sociālā riska grupām, prasmju paaugstināšanas pasākumus Labklājības ministrijas un Vides aizsardzības un reģionālās attīstības ministrijas programmās, taču aicinām saglabāt fokusu uz 4.2.4.2 pasākuma "Atbalsts pieaugušo individuālajās vajadzībās balstītai pieaugušo izglītībai” mērķi un noteikt samērīgus sasniedzamos rādītājus, atbilstoši nodarbinātības struktūrai valstī un darba tirgus vajadzībām.</w:t>
            </w:r>
            <w:r>
              <w:br/>
            </w:r>
            <w:r>
              <w:br/>
              <w:t>[1] https://www.em.gov.lv/lv/media/14720/download?attachment</w:t>
            </w:r>
            <w:r>
              <w:br/>
            </w:r>
            <w:r>
              <w:br/>
              <w:t>[2] https://likta.lv/desi-2022-latvija-saglaba-poziciju-un-ierindojas-17-vieta/</w:t>
            </w:r>
          </w:p>
        </w:tc>
        <w:tc>
          <w:tcPr>
            <w:tcW w:w="3713" w:type="dxa"/>
            <w:shd w:val="clear" w:color="auto" w:fill="FFFFFF" w:themeFill="background1"/>
            <w:noWrap/>
            <w:tcMar>
              <w:top w:w="75" w:type="dxa"/>
              <w:left w:w="75" w:type="dxa"/>
              <w:bottom w:w="75" w:type="dxa"/>
              <w:right w:w="75" w:type="dxa"/>
            </w:tcMar>
            <w:vAlign w:val="center"/>
          </w:tcPr>
          <w:p w14:paraId="59954C7C" w14:textId="77777777" w:rsidR="009A409D" w:rsidRPr="009A409D" w:rsidRDefault="009A409D" w:rsidP="009A409D">
            <w:pPr>
              <w:jc w:val="left"/>
              <w:rPr>
                <w:b/>
                <w:bCs/>
              </w:rPr>
            </w:pPr>
            <w:r w:rsidRPr="009A409D">
              <w:rPr>
                <w:b/>
                <w:bCs/>
              </w:rPr>
              <w:lastRenderedPageBreak/>
              <w:t>ŅEMTS VĒRĀ</w:t>
            </w:r>
          </w:p>
          <w:p w14:paraId="72F77E03" w14:textId="0A6A62AD" w:rsidR="007432F1" w:rsidRDefault="007432F1">
            <w:pPr>
              <w:jc w:val="left"/>
            </w:pPr>
            <w:r>
              <w:t>S</w:t>
            </w:r>
            <w:r w:rsidRPr="007432F1">
              <w:t xml:space="preserve">kaidrojam, ka 4.2.4.2.pasākumā izvirzītais nacionālais rādītājs noteikts ievērojami lielāks kā SAM 8.4.1., nodrošinot, ka publiskie līdzekļi tiek novirzīti mērķiem, kas veicinātu un sniegtu lielāku ietekmi uz nodarbinātību kopumā, kas izriet arī no EM ziņojumā "PAR DARBA TIRGUS  VIDĒJA UN ILGTERMIŅA PROGNOZĒM" identificētā, ka prognozēts 96 tūkst. darbaspēka pārpalikums ar vispārējo vidējo izglītību un pamatizglītību, kā arī prognozēts 69 tūkst. iztrūkums pēc </w:t>
            </w:r>
            <w:r w:rsidRPr="007432F1">
              <w:lastRenderedPageBreak/>
              <w:t xml:space="preserve">darbaspēka ar profesionālo vidējo izglītību. Turklāt arī 2023.g.ietvaros Valsts kontroles lietderības revīzijā “Vai pieaugušo izglītība sasniedz tai izvirzītos mērķus un atbilst darba tirgus vajadzībām?” sagatavotais revīzijas ziņojuma projekts “Valsts atbalsts pieaugušo izglītībai – valstisks vai personisks ieguvums” kā vienu no ieteikumiem paredz  IZM un LM veikt aktivitātes un rast risinājumu iedzīvotāju, kuriem trūkst darba tirgum nepieciešamās zināšanas un prasmes vai arī kuriem tās saskaņā ar darba tirgus prognozēm būs nepietiekamas nākotnē, izglītošanai par nepieciešamību iegūt un pilnveidot darba tirgum nepieciešamo izglītību un prasmes, kā arī iesaistīties mācībās pieaugušajiem. Ievērojot minēto arī ir noteikts nacionālais rādītājs, kas paredz </w:t>
            </w:r>
            <w:r w:rsidRPr="007432F1">
              <w:lastRenderedPageBreak/>
              <w:t>sasniegt-14 000 nodarbināto ar zemu izglītības līmeni.</w:t>
            </w:r>
            <w:r w:rsidRPr="007432F1">
              <w:br/>
              <w:t>Vienlaikus skaidrojam, ka nodarbināto ar zemu izglītības līmeni, izvirzīšana par prioritāri atbalstāmo mērķa grupu 4.2.4.2.pasākumā nav pretrunā pasākuma mērķim - nodarbināto prasmju paaugstināšana un profesionālās kvalifikācijas ieguve vai pārkvalifikācija, lai uzlabotu darba spēka kvalitāti un kapacitāti, pilnveidotu nodarbināto personu profesionālo kompetenci atbilstoši darba tirgus vajadzībām, veicinātu nodarbināto spēju efektīvāk pielāgoties mainīgajiem darba apstākļiem, tādējādi nodrošinot nodarbināto noturību darba tirgū, kā arī līdzdalības palielināšana pieaugušo izglītībā, jo tieši šai mērķa grupai pastāv lielāks risks nākotnē zaudēt darbu.</w:t>
            </w:r>
          </w:p>
        </w:tc>
        <w:tc>
          <w:tcPr>
            <w:tcW w:w="1793" w:type="dxa"/>
            <w:shd w:val="clear" w:color="auto" w:fill="FFFFFF" w:themeFill="background1"/>
            <w:noWrap/>
            <w:tcMar>
              <w:top w:w="75" w:type="dxa"/>
              <w:left w:w="75" w:type="dxa"/>
              <w:bottom w:w="75" w:type="dxa"/>
              <w:right w:w="75" w:type="dxa"/>
            </w:tcMar>
            <w:vAlign w:val="center"/>
          </w:tcPr>
          <w:p w14:paraId="1BAA2690" w14:textId="77777777" w:rsidR="00BA1372" w:rsidRDefault="00BA1372">
            <w:pPr>
              <w:jc w:val="left"/>
            </w:pPr>
          </w:p>
        </w:tc>
      </w:tr>
      <w:tr w:rsidR="00BA1372" w14:paraId="7CDAE6EF" w14:textId="77777777" w:rsidTr="71E6D9CD">
        <w:tc>
          <w:tcPr>
            <w:tcW w:w="750" w:type="dxa"/>
            <w:shd w:val="clear" w:color="auto" w:fill="FFFFFF" w:themeFill="background1"/>
            <w:noWrap/>
            <w:tcMar>
              <w:top w:w="75" w:type="dxa"/>
              <w:left w:w="75" w:type="dxa"/>
              <w:bottom w:w="75" w:type="dxa"/>
              <w:right w:w="75" w:type="dxa"/>
            </w:tcMar>
            <w:vAlign w:val="center"/>
          </w:tcPr>
          <w:p w14:paraId="3FFC5EF7" w14:textId="77777777" w:rsidR="00BA1372" w:rsidRDefault="00804036" w:rsidP="00FC1626">
            <w:pPr>
              <w:jc w:val="center"/>
            </w:pPr>
            <w:r>
              <w:lastRenderedPageBreak/>
              <w:t>2.</w:t>
            </w:r>
          </w:p>
        </w:tc>
        <w:tc>
          <w:tcPr>
            <w:tcW w:w="1764" w:type="dxa"/>
            <w:shd w:val="clear" w:color="auto" w:fill="FFFFFF" w:themeFill="background1"/>
            <w:noWrap/>
            <w:tcMar>
              <w:top w:w="75" w:type="dxa"/>
              <w:left w:w="75" w:type="dxa"/>
              <w:bottom w:w="75" w:type="dxa"/>
              <w:right w:w="75" w:type="dxa"/>
            </w:tcMar>
            <w:vAlign w:val="center"/>
          </w:tcPr>
          <w:p w14:paraId="4FD40943" w14:textId="77777777" w:rsidR="00BA1372" w:rsidRDefault="00804036">
            <w:pPr>
              <w:jc w:val="left"/>
            </w:pPr>
            <w:r>
              <w:t>*"Latvijas Augstskolu un koledžu mūžizglītības asociācija"</w:t>
            </w:r>
          </w:p>
        </w:tc>
        <w:tc>
          <w:tcPr>
            <w:tcW w:w="6547" w:type="dxa"/>
            <w:shd w:val="clear" w:color="auto" w:fill="FFFFFF" w:themeFill="background1"/>
            <w:noWrap/>
            <w:tcMar>
              <w:top w:w="75" w:type="dxa"/>
              <w:left w:w="75" w:type="dxa"/>
              <w:bottom w:w="75" w:type="dxa"/>
              <w:right w:w="75" w:type="dxa"/>
            </w:tcMar>
            <w:vAlign w:val="center"/>
          </w:tcPr>
          <w:p w14:paraId="14743FE3" w14:textId="77777777" w:rsidR="00BA1372" w:rsidRDefault="00804036">
            <w:pPr>
              <w:jc w:val="left"/>
            </w:pPr>
            <w:r>
              <w:rPr>
                <w:b/>
                <w:u w:val="single"/>
              </w:rPr>
              <w:t>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(mk.gov.lv)Sabiedriskā apspriešana līdz 13.11.2023.</w:t>
            </w:r>
            <w:r>
              <w:br/>
              <w:t>Latvijas augstskolu un koledžu mūžizglītības asociācijas (turpmāk LAKMA) viedoklis un priekšlikumi.</w:t>
            </w:r>
            <w:r>
              <w:br/>
              <w:t xml:space="preserve">Ņemot vērā, ka noteikumu mērķis ir “nodrošināt nodarbināto prasmju paaugstināšanu, kā arī profesionālās kvalifikācijas ieguvi vai pārkvalifikāciju, kas uzlabotu darba spēka kvalitāti atbilstoši darba tirgus vajadzībām”, LAKMA uzskata, ka ir būtiski izvērtēt, vai piedāvātais risinājums ļaus sasniegt mērķi. Anotācijā iekļautā informācija par iepriekšējās pieredzes izvērtējumu norāda tikai tehniskus priekšlikumus – īstenošanas nosacījumu precizēšanu, taču nedod pārliecību, ka šādas programmas īstenošana, bez identificētiem, vadītiem un nozaru vajadzībās balstītiem sasniedzamajiem rezultātiem (īpaši attiecībā ar ietekmi uz tautsaimniecību un šo vēlāko atdevi valsts budžetā), ar šādu kopējo finansējumu var nodrošināt mērķa </w:t>
            </w:r>
            <w:r>
              <w:lastRenderedPageBreak/>
              <w:t>sasniegšanu. LAKMA biedri uzskata, ka vēl lielākas bažas rada izmantotais sasniedzamais rezultāts, kas definēts iepriekš nepamatotā dalībnieku skaita apjomā, nevis sasaistē ar, iespējams, konkrētām nozarēm un faktisko cilvēkkapitāla struktūru izvērtējumu.</w:t>
            </w:r>
            <w:r>
              <w:br/>
              <w:t xml:space="preserve">Vēlamies norādīt, ka anotācijas un noteikumu projekta </w:t>
            </w:r>
            <w:r w:rsidRPr="009002DC">
              <w:t>ietvarā nav definēti izmērāmi mācību kvalitātes kritēriji, tādējādi radot bažas, ka mācību vajadzību norisē netiek plānots uz konkrēto problēmas vai mērķa sasniegšanu orientēts risinājums, bet piedāvāti tikai faktiski esošie un sabiedrībai pieejamie mācību piedāvājumi. Nav arī izveidota stratēģija pieaugušo mācību dalībnieku rezultātu monitoringam un attīstībai, kas</w:t>
            </w:r>
            <w:r>
              <w:t xml:space="preserve"> var radīt atkārtoti situāciju, ka pieaugušo mācībās iegūtās zināšanas un prasmes dalībnieki neizmanto esošajās darba attiecībās un nepārkvalificējas. LAKMA uzskata, ka, piedāvājot risinājumus, būtiski pilnveidojams ir pats  ietvars, kā nodrošināt jēgpilnu, uz nozaru vajadzībām balstītu mācību sniedzēju atlasi un mērķtiecīgāku prioritāšu noteikšanu – gan attiecībā uz mācību formu (formālā vai neformālā izglītība), gan arī mācību rezultātu atzīšanas procesu (iespējams, piesaistot nozaru ekspertus šajā procesā, nevis tikai izglītības iestādes).</w:t>
            </w:r>
            <w:r>
              <w:br/>
              <w:t xml:space="preserve">Programmas piedāvātais risinājums – īstenot darba tirgus vajadzībām nepieciešamās mācības paralēli citiem valsts īstenotiem pasākumiem ar līdzīgu mērķi, piemēram, bezdarbam vai bezdarba riskam pakļautiem </w:t>
            </w:r>
            <w:r>
              <w:lastRenderedPageBreak/>
              <w:t>iedzīvotājiem, rada riskus dublēt plānotos pasākumus un veidot papildu administratīvo izmaksu pieaugumu attiecībā uz plānoto gan prasmju novērtēšanu, gan mērķa grupas uzrunāšanu, jo faktiski izmaksu racionalizēšanai un ilgtspējīgas pieaugušo izglītības sistēmas attīstībai būtu nepieciešams uzkrāt un veidot vienotu pieeju mācību vajadzību izvērtēšanai, nodarbinātā kompetenču novērtējumam un secīgi – piedāvātā mācību piedāvājuma atbilstībai kompetencēm, kā arī monitorēt konkrētā iedzīvotāja iegūto prasmju un zināšanu izmantošanu noteiktā nozarē. Piedāvātā fragmentārā pieeja ne tikai neļaus gūt objektīvu novērtējumu uz nozaru vajadzībām atbilstošu un mērķtiecīgi virzītu pieaugušo izglītības piedāvājumu, bet arī rada būtiskus riskus, ka plānotā mērķa grupa – personas ar zemu kvalifikācijas līmeni – tiek vairākkārtīgi mācītas savstarpēji dublējošās programmās kopējā valsts pieaugušo izglītības sistēmā.</w:t>
            </w:r>
            <w:r>
              <w:br/>
              <w:t xml:space="preserve">Tāpat vērtējot plānoto piedāvāto mācību piedāvājuma veidošanas pieeju vai mācību piedāvājumu, nav ņemta vērā sasaiste ar Cilvēkkapitāla attīstības padomes, kuras funkcijās ir t.sk. sagatavot priekšlikumus par pieaugušo izglītības mācību virzieniem, nav sniegta pārliecība, ka šī priekšlikuma izstrāde ir balstīta uz 2023.gadā publiski iniciēto un provizoriski īstenoto ekspertu darba grupas “Pieaugušo izglītības mācību piedāvājuma, kvalitātes un prasmju pilnveidei” priekšlikumiem un rīcības plāna ieteikumiem, līdz ar to šādas programmas virzīšana būtu </w:t>
            </w:r>
            <w:r>
              <w:lastRenderedPageBreak/>
              <w:t>jāveic tikai pēc šādu valdības līmenī plānotu plānošanas dokumentu apstiprināšanas. Šobrīd anotācijā minētā iecere analizēt un veidot konkrētu mācību piedāvājumu var būt pretrunā ar kopējiem padomes virzītajiem priekšlikumiem sistēmas līmenī.</w:t>
            </w:r>
            <w:r>
              <w:br/>
              <w:t>Ņemot vērā plānotā finansējuma apmēru šādas programmas virzīšana būtu izvērtējama tikai pēc savstarpēji saskaņotas pieaugušo izglītības sistēmas attīstības risinājuma apstiprināšanas valdībā, kas sākotnēji bija plānota 2023.gada rudenī.</w:t>
            </w:r>
            <w:r>
              <w:br/>
            </w:r>
          </w:p>
        </w:tc>
        <w:tc>
          <w:tcPr>
            <w:tcW w:w="3713" w:type="dxa"/>
            <w:shd w:val="clear" w:color="auto" w:fill="FFFFFF" w:themeFill="background1"/>
            <w:noWrap/>
            <w:tcMar>
              <w:top w:w="75" w:type="dxa"/>
              <w:left w:w="75" w:type="dxa"/>
              <w:bottom w:w="75" w:type="dxa"/>
              <w:right w:w="75" w:type="dxa"/>
            </w:tcMar>
            <w:vAlign w:val="center"/>
          </w:tcPr>
          <w:p w14:paraId="4FA41D18" w14:textId="77777777" w:rsidR="009A409D" w:rsidRPr="009A409D" w:rsidRDefault="009A409D" w:rsidP="009A409D">
            <w:pPr>
              <w:jc w:val="left"/>
              <w:rPr>
                <w:b/>
                <w:bCs/>
              </w:rPr>
            </w:pPr>
            <w:r w:rsidRPr="009A409D">
              <w:rPr>
                <w:b/>
                <w:bCs/>
              </w:rPr>
              <w:lastRenderedPageBreak/>
              <w:t>ŅEMTS VĒRĀ</w:t>
            </w:r>
          </w:p>
          <w:p w14:paraId="053B030A" w14:textId="52576BA6" w:rsidR="00C313FB" w:rsidRDefault="00C313FB" w:rsidP="71E6D9CD">
            <w:pPr>
              <w:rPr>
                <w:rStyle w:val="normaltextrun"/>
                <w:bdr w:val="none" w:sz="0" w:space="0" w:color="auto" w:frame="1"/>
              </w:rPr>
            </w:pPr>
            <w:r>
              <w:t>Skaidrojam, ka 4.2.4.2.pasākums ir vērsts un nodarbināto individuālās vajadzībās balstītām mācībām, nevis uz konkrētu uzņēmumu vajadzībām, kas ir paredzēts piem., EM atbildībā esošajā 4.2.4.1.pasākumā “</w:t>
            </w:r>
            <w:r w:rsidRPr="00C313FB">
              <w:t>Atbalsts nozaru vajadzībās balstītai uzņēmēju izglītībai”</w:t>
            </w:r>
            <w:r>
              <w:t xml:space="preserve">. 4.2.4.2.pasākuma mērķis ir </w:t>
            </w:r>
            <w:r w:rsidRPr="71E6D9CD">
              <w:rPr>
                <w:rStyle w:val="normaltextrun"/>
                <w:bdr w:val="none" w:sz="0" w:space="0" w:color="auto" w:frame="1"/>
              </w:rPr>
              <w:t xml:space="preserve">pilnveidot nodarbināto personu profesionālo kompetenci pēc to pašu iniciatīvas, nodrošinot tiem darba tirgus vajadzībām atbilstošas mācības, </w:t>
            </w:r>
            <w:r w:rsidR="004C1198" w:rsidRPr="71E6D9CD">
              <w:rPr>
                <w:rStyle w:val="normaltextrun"/>
                <w:bdr w:val="none" w:sz="0" w:space="0" w:color="auto" w:frame="1"/>
              </w:rPr>
              <w:t>pa</w:t>
            </w:r>
            <w:r w:rsidR="1C216142" w:rsidRPr="71E6D9CD">
              <w:rPr>
                <w:rStyle w:val="normaltextrun"/>
                <w:bdr w:val="none" w:sz="0" w:space="0" w:color="auto" w:frame="1"/>
              </w:rPr>
              <w:t>a</w:t>
            </w:r>
            <w:r w:rsidR="004C1198" w:rsidRPr="71E6D9CD">
              <w:rPr>
                <w:rStyle w:val="normaltextrun"/>
                <w:bdr w:val="none" w:sz="0" w:space="0" w:color="auto" w:frame="1"/>
              </w:rPr>
              <w:t xml:space="preserve">ugstinot to prasmes, kā arī iegūstot profesionālo kvalifikāciju vai pārkvalificējoties, </w:t>
            </w:r>
            <w:r w:rsidRPr="71E6D9CD">
              <w:rPr>
                <w:rStyle w:val="normaltextrun"/>
                <w:bdr w:val="none" w:sz="0" w:space="0" w:color="auto" w:frame="1"/>
              </w:rPr>
              <w:t>kas ļautu nodarbinātajam saglabāt un vēl efektīvāk veikt esošos darba pienākumu</w:t>
            </w:r>
            <w:r w:rsidR="19E785FF" w:rsidRPr="71E6D9CD">
              <w:rPr>
                <w:rStyle w:val="normaltextrun"/>
                <w:bdr w:val="none" w:sz="0" w:space="0" w:color="auto" w:frame="1"/>
              </w:rPr>
              <w:t>s</w:t>
            </w:r>
            <w:r w:rsidR="004C1198" w:rsidRPr="71E6D9CD">
              <w:rPr>
                <w:rStyle w:val="normaltextrun"/>
                <w:bdr w:val="none" w:sz="0" w:space="0" w:color="auto" w:frame="1"/>
              </w:rPr>
              <w:t xml:space="preserve"> vai iegūt augstāku amatu vai mainīt līd</w:t>
            </w:r>
            <w:r w:rsidR="6B2D6241" w:rsidRPr="71E6D9CD">
              <w:rPr>
                <w:rStyle w:val="normaltextrun"/>
                <w:bdr w:val="none" w:sz="0" w:space="0" w:color="auto" w:frame="1"/>
              </w:rPr>
              <w:t>zš</w:t>
            </w:r>
            <w:r w:rsidR="004C1198" w:rsidRPr="71E6D9CD">
              <w:rPr>
                <w:rStyle w:val="normaltextrun"/>
                <w:bdr w:val="none" w:sz="0" w:space="0" w:color="auto" w:frame="1"/>
              </w:rPr>
              <w:t>inējo profesiju</w:t>
            </w:r>
            <w:r w:rsidRPr="71E6D9CD">
              <w:rPr>
                <w:rStyle w:val="normaltextrun"/>
                <w:bdr w:val="none" w:sz="0" w:space="0" w:color="auto" w:frame="1"/>
              </w:rPr>
              <w:t>.</w:t>
            </w:r>
            <w:r w:rsidR="54AE5E84" w:rsidRPr="71E6D9CD">
              <w:rPr>
                <w:rStyle w:val="normaltextrun"/>
                <w:bdr w:val="none" w:sz="0" w:space="0" w:color="auto" w:frame="1"/>
              </w:rPr>
              <w:t xml:space="preserve"> </w:t>
            </w:r>
            <w:r w:rsidR="54AE5E84" w:rsidRPr="71E6D9CD">
              <w:rPr>
                <w:szCs w:val="28"/>
              </w:rPr>
              <w:t xml:space="preserve">4.2.4.2. pasākumā paredzēts vēl plašāks karjeras atbalsts un individualizētāka pieeja, kas nodrošinās </w:t>
            </w:r>
            <w:r w:rsidR="54AE5E84" w:rsidRPr="71E6D9CD">
              <w:rPr>
                <w:szCs w:val="28"/>
              </w:rPr>
              <w:lastRenderedPageBreak/>
              <w:t>mērķtiecīgāku atbilstošu mācību izvēli.</w:t>
            </w:r>
          </w:p>
          <w:p w14:paraId="22DEE3E5" w14:textId="26C2A8E3" w:rsidR="00AD15E0" w:rsidRDefault="00AD15E0" w:rsidP="004C1198">
            <w:r>
              <w:t>4.2.4.2.pasākuma īstenošana sniegs būtisku ieguldījumu</w:t>
            </w:r>
            <w:r w:rsidR="004C1198">
              <w:t xml:space="preserve"> gan</w:t>
            </w:r>
            <w:r>
              <w:t xml:space="preserve"> </w:t>
            </w:r>
            <w:r w:rsidR="004C1198" w:rsidRPr="71E6D9CD">
              <w:rPr>
                <w:rStyle w:val="normaltextrun"/>
                <w:bdr w:val="none" w:sz="0" w:space="0" w:color="auto" w:frame="1"/>
              </w:rPr>
              <w:t xml:space="preserve">Latvijas Nacionālās attīstības plānā 2021.-2027.gadam, gan </w:t>
            </w:r>
            <w:r>
              <w:t xml:space="preserve"> </w:t>
            </w:r>
            <w:r w:rsidR="004C1198" w:rsidRPr="71E6D9CD">
              <w:rPr>
                <w:rStyle w:val="normaltextrun"/>
                <w:bdr w:val="none" w:sz="0" w:space="0" w:color="auto" w:frame="1"/>
              </w:rPr>
              <w:t xml:space="preserve">Izglītības attīstības pamatnostādņu 2021.‒2027. gadam "Nākotnes prasmes nākotnes sabiedrībai" </w:t>
            </w:r>
            <w:r>
              <w:t>mērķu pieaugušo izglītības jomā sasniegšanā – palielināt pieaugušo (25–64 gadi), kuri pēdējo 12 mēnešu laikā piedalījušies formālajā vai neformālajā izglītībā/mācībās, līdzdalību līdz 54%  (NAP2027) un palielināt pieaugušo (25-64 gadi), kuri iesaistīti pieaugušo izglītībā pēdējo četru nedēļu laikā pirms aptaujas, iesaisti līdz 12% (IAP2027), kā arī veicinās Digitālās transformācijas pamatnostādnē</w:t>
            </w:r>
            <w:r w:rsidR="45DD8190">
              <w:t>s</w:t>
            </w:r>
            <w:r>
              <w:t xml:space="preserve"> 2021.-2027. gadam noteikto mērķi – palielināt iedzīvotāju (16-74%) īpatsvaru, kam digitālās </w:t>
            </w:r>
            <w:r>
              <w:lastRenderedPageBreak/>
              <w:t>prasmes ir vismaz pamatlīmenī un augstāk līdz 70%.</w:t>
            </w:r>
          </w:p>
          <w:p w14:paraId="73F93F12" w14:textId="053B168E" w:rsidR="009A409D" w:rsidRDefault="004C1198">
            <w:pPr>
              <w:jc w:val="left"/>
            </w:pPr>
            <w:r>
              <w:t>Skaidrojam, ka 4.2.4.2.pasākumā p</w:t>
            </w:r>
            <w:r w:rsidR="009A409D">
              <w:t xml:space="preserve">ubliskā finansējuma atbalsts tiks koncentrēts nozarēs un  jomās, kas sniedz ieguldījumu ekonomikas transformācijā un ir vērstas uz augstākas pievienotās vērtības ražošanu un pakalpojumiem. Vienlaikus tiks veicināta kvalitatīva pieaugušo izglītības piedāvājuma attīstība un pieejamība Latvijas republikas iedzīvotājiem, sniegts ieguldījums darba tirgus prognozēto disproporciju mazināšanā un tautsaimniecības transformācijā, sekmējot pāreju uz augstākas pievienotās vērtības ražošanu un pakalpojumiem. </w:t>
            </w:r>
          </w:p>
          <w:p w14:paraId="09F6C78E" w14:textId="40B220E8" w:rsidR="004C1198" w:rsidRDefault="004C1198" w:rsidP="004C1198">
            <w:pPr>
              <w:jc w:val="left"/>
            </w:pPr>
            <w:r>
              <w:t>Vienlaikus Cilvēkkapitāla attīstības padomē pi</w:t>
            </w:r>
            <w:r w:rsidR="124A6AE2">
              <w:t>e</w:t>
            </w:r>
            <w:r>
              <w:t xml:space="preserve">ņemts lēmums, ka ir nepieciešams  konsolidēt </w:t>
            </w:r>
            <w:r>
              <w:lastRenderedPageBreak/>
              <w:t>prasmju un pārkvalifikācijas IZM, LM un EM noteikšanas formātus, izveidojot vienotu platformu lēmumu pieņemšanai par darba tirgū un mūžizglītībā nepieciešamo prasmju un pārkvalifikācijas jomām. Ievērojot valdības noteikto virzību uz pieaugušo izglītības pārvaldības formātu konsolidāciju, EM, IZM un LM </w:t>
            </w:r>
            <w:r w:rsidR="00D25EC0">
              <w:t xml:space="preserve">ir </w:t>
            </w:r>
            <w:r>
              <w:t>vienoj</w:t>
            </w:r>
            <w:r w:rsidR="00D25EC0">
              <w:t>usies</w:t>
            </w:r>
            <w:r>
              <w:t xml:space="preserve"> par vienot</w:t>
            </w:r>
            <w:r w:rsidR="00D25EC0">
              <w:t>u</w:t>
            </w:r>
            <w:r>
              <w:t xml:space="preserve"> pieeju mācību piedāvājuma noteikšanai, minēto institūciju Atveseļošanas fonda un ES Fondu projektu īstenošanas noteikumos iekļaujot deleģējumu ekonomikas ministram izveidot attiecīgo komisiju.</w:t>
            </w:r>
          </w:p>
          <w:p w14:paraId="6735654A" w14:textId="1C400892" w:rsidR="004C1198" w:rsidRPr="004C1198" w:rsidRDefault="00D25EC0" w:rsidP="00D25EC0">
            <w:pPr>
              <w:jc w:val="left"/>
            </w:pPr>
            <w:r>
              <w:t>Tādejādi 4.2.4.2. p</w:t>
            </w:r>
            <w:r w:rsidR="004C1198">
              <w:t>rojektā atbalstāmās mācību jomas un programmas</w:t>
            </w:r>
            <w:r>
              <w:t xml:space="preserve"> </w:t>
            </w:r>
            <w:r w:rsidR="004C1198">
              <w:t xml:space="preserve"> noteiks </w:t>
            </w:r>
            <w:r>
              <w:t>EM</w:t>
            </w:r>
            <w:r w:rsidR="004C1198">
              <w:t xml:space="preserve"> </w:t>
            </w:r>
            <w:r>
              <w:t>komisija</w:t>
            </w:r>
            <w:r w:rsidR="004C1198">
              <w:t xml:space="preserve"> (kas ir plānota vienota cilvēkresursu attīstības </w:t>
            </w:r>
            <w:r w:rsidR="004C1198" w:rsidRPr="004C1198">
              <w:t>padome)</w:t>
            </w:r>
            <w:r>
              <w:t>, caur kuras darbību un lēmumiem tiks nodrošināta d</w:t>
            </w:r>
            <w:r w:rsidR="004C1198" w:rsidRPr="004C1198">
              <w:t xml:space="preserve">emarkācija par konkrētām </w:t>
            </w:r>
            <w:r w:rsidR="004C1198" w:rsidRPr="004C1198">
              <w:lastRenderedPageBreak/>
              <w:t xml:space="preserve">darbībām demarkācijas noteikšanai </w:t>
            </w:r>
            <w:r>
              <w:t>EM</w:t>
            </w:r>
            <w:r w:rsidR="004C1198" w:rsidRPr="004C1198">
              <w:t>, IZM un LM atbalstāmajās mācību jomās.</w:t>
            </w:r>
          </w:p>
          <w:p w14:paraId="612469F1" w14:textId="07D0F8D3" w:rsidR="00D25EC0" w:rsidRDefault="00D25EC0" w:rsidP="00D25EC0">
            <w:pPr>
              <w:jc w:val="left"/>
            </w:pPr>
            <w:r>
              <w:t>Turklāt, lai uzlabotu izglītības programmu, jo īpaši profesionālās tālākizglītības programmu absolventu turpmāko gaitu monitoringu,</w:t>
            </w:r>
            <w:r w:rsidRPr="71E6D9CD">
              <w:rPr>
                <w:u w:val="single"/>
              </w:rPr>
              <w:t xml:space="preserve"> </w:t>
            </w:r>
            <w:r>
              <w:t>EM, papildu valsts budžeta finansējuma prioritāro pasākumu īstenošanai ietvaros, uzsākusi darbu pie profesionālās tālākizglītības un profesionālās pilnveides izglītības programmu absolventu monitoringa sistēmas.</w:t>
            </w:r>
            <w:r w:rsidR="3C1538DA">
              <w:t xml:space="preserve"> Jānorāda arī, ka 4.2.4.2. pasākumam ir izvirzīts rezultāta rādītājs “dalībnieki, kuri sešus mēnešus pēc jaunas kvalifikācijas iegūšanas atrodas labākā darba tirgus situācijā”, un tiks pilnveido</w:t>
            </w:r>
            <w:r w:rsidR="30CD721A">
              <w:t>ta esošā monitoringa sistēma, lai izvērtētu mācību ietekmi uz personu un rādītāja sasniegšanu, un nepiecie</w:t>
            </w:r>
            <w:r w:rsidR="6C4628A6">
              <w:t xml:space="preserve">šamības gadījumā </w:t>
            </w:r>
            <w:r w:rsidR="6C4628A6">
              <w:lastRenderedPageBreak/>
              <w:t>pilnveidotu pasākuma ieviešanas nosacījumus.</w:t>
            </w:r>
          </w:p>
          <w:p w14:paraId="7458EA21" w14:textId="668B0B4B" w:rsidR="00AD15E0" w:rsidRDefault="39D4FC45" w:rsidP="71E6D9CD">
            <w:pPr>
              <w:rPr>
                <w:color w:val="auto"/>
                <w:szCs w:val="28"/>
              </w:rPr>
            </w:pPr>
            <w:r w:rsidRPr="71E6D9CD">
              <w:rPr>
                <w:color w:val="auto"/>
                <w:szCs w:val="28"/>
              </w:rPr>
              <w:t xml:space="preserve">Skaidrojam, ka formālajā izglītībā ir definēti nosacījumi un prasības izglītības programmu kvalitātei, profesionālajā izglītībā tās ir izstrādātas  sadarbībā ar nozarēm. Par neformālās izglītības programmas kvalitātes papildus kritērijiem tiks lemts veidojot mācību piedāvājumu sadarbībā ar nozarēm. </w:t>
            </w:r>
          </w:p>
          <w:p w14:paraId="7235B016" w14:textId="07C34604" w:rsidR="00AD15E0" w:rsidRDefault="39D4FC45" w:rsidP="71E6D9CD">
            <w:pPr>
              <w:rPr>
                <w:color w:val="auto"/>
                <w:szCs w:val="28"/>
              </w:rPr>
            </w:pPr>
            <w:r w:rsidRPr="71E6D9CD">
              <w:rPr>
                <w:color w:val="auto"/>
                <w:szCs w:val="28"/>
              </w:rPr>
              <w:t xml:space="preserve">Personu anketēšana par mācību īstenošanas kvalitāti 8.4.1. SAM projekta ietvaros tika veikta pēc mācību pabeigšanas un nepieciešamības gadījumā (piemēram, saņemot sūdzību) arī izglītības programmas īstenošanas laikā. Tika nodrošināta atgriezeniskā saite ar izglītības iestādēm kvalitātes nodrošināšanai, piemēram, nepieciešamības gadījumā tika nomainīts pedagoģiskais personāls. </w:t>
            </w:r>
          </w:p>
          <w:p w14:paraId="25E20C8F" w14:textId="0C664844" w:rsidR="00AD15E0" w:rsidRDefault="39D4FC45" w:rsidP="71E6D9CD">
            <w:pPr>
              <w:rPr>
                <w:color w:val="auto"/>
                <w:szCs w:val="28"/>
              </w:rPr>
            </w:pPr>
            <w:r w:rsidRPr="71E6D9CD">
              <w:rPr>
                <w:color w:val="auto"/>
                <w:szCs w:val="28"/>
              </w:rPr>
              <w:lastRenderedPageBreak/>
              <w:t>Plānots, ka tiks izveidots publiski pieejams izglītības programmu reitings, kas tiks balstīts uz mācības pabeigušo dalībnieku sniegtajiem vērtējumiem.</w:t>
            </w:r>
          </w:p>
          <w:p w14:paraId="4AC39432" w14:textId="2BC5A2D9" w:rsidR="00AD15E0" w:rsidRDefault="00D25EC0" w:rsidP="71E6D9CD">
            <w:r>
              <w:t xml:space="preserve">Attiecībā uz </w:t>
            </w:r>
            <w:r w:rsidR="009A409D">
              <w:t>8.4.1. projekt</w:t>
            </w:r>
            <w:r>
              <w:t xml:space="preserve">a sniegtiem </w:t>
            </w:r>
            <w:r w:rsidR="044D8EC5">
              <w:t>ieguvumiem</w:t>
            </w:r>
            <w:r>
              <w:t>, vēršam uzmanību, ka projekts ir</w:t>
            </w:r>
            <w:r w:rsidR="009A409D">
              <w:t xml:space="preserve"> devis iespēju vairāk nekā 87 tūkst. nodarbinātiem Latvijas iedzīvotājiem vecumā no 25 gadiem iegūt jaunas prasmes vai profesiju, kas devis ieguldījumu arī Latvijas noteiktā mērķa pieaugušo izglītībā sasniegšanā iedzīvotāju iesaiste</w:t>
            </w:r>
            <w:r w:rsidR="3D8C020B">
              <w:t>i</w:t>
            </w:r>
            <w:r w:rsidR="009A409D">
              <w:t xml:space="preserve"> pieaugušo izglītībā 2022.g.–9,6%.</w:t>
            </w:r>
          </w:p>
        </w:tc>
        <w:tc>
          <w:tcPr>
            <w:tcW w:w="1793" w:type="dxa"/>
            <w:shd w:val="clear" w:color="auto" w:fill="FFFFFF" w:themeFill="background1"/>
            <w:noWrap/>
            <w:tcMar>
              <w:top w:w="75" w:type="dxa"/>
              <w:left w:w="75" w:type="dxa"/>
              <w:bottom w:w="75" w:type="dxa"/>
              <w:right w:w="75" w:type="dxa"/>
            </w:tcMar>
            <w:vAlign w:val="center"/>
          </w:tcPr>
          <w:p w14:paraId="4C192CDD" w14:textId="77777777" w:rsidR="00BA1372" w:rsidRDefault="00BA1372">
            <w:pPr>
              <w:jc w:val="left"/>
            </w:pPr>
          </w:p>
        </w:tc>
      </w:tr>
      <w:tr w:rsidR="00BA1372" w14:paraId="78BF2D04" w14:textId="77777777" w:rsidTr="71E6D9CD">
        <w:tc>
          <w:tcPr>
            <w:tcW w:w="750" w:type="dxa"/>
            <w:shd w:val="clear" w:color="auto" w:fill="FFFFFF" w:themeFill="background1"/>
            <w:noWrap/>
            <w:tcMar>
              <w:top w:w="75" w:type="dxa"/>
              <w:left w:w="75" w:type="dxa"/>
              <w:bottom w:w="75" w:type="dxa"/>
              <w:right w:w="75" w:type="dxa"/>
            </w:tcMar>
            <w:vAlign w:val="center"/>
          </w:tcPr>
          <w:p w14:paraId="74DA580E" w14:textId="77777777" w:rsidR="00BA1372" w:rsidRDefault="00804036" w:rsidP="00FC1626">
            <w:pPr>
              <w:jc w:val="center"/>
            </w:pPr>
            <w:r>
              <w:lastRenderedPageBreak/>
              <w:t>3.</w:t>
            </w:r>
          </w:p>
        </w:tc>
        <w:tc>
          <w:tcPr>
            <w:tcW w:w="1764" w:type="dxa"/>
            <w:shd w:val="clear" w:color="auto" w:fill="FFFFFF" w:themeFill="background1"/>
            <w:noWrap/>
            <w:tcMar>
              <w:top w:w="75" w:type="dxa"/>
              <w:left w:w="75" w:type="dxa"/>
              <w:bottom w:w="75" w:type="dxa"/>
              <w:right w:w="75" w:type="dxa"/>
            </w:tcMar>
            <w:vAlign w:val="center"/>
          </w:tcPr>
          <w:p w14:paraId="77710D64" w14:textId="77777777" w:rsidR="00BA1372" w:rsidRDefault="00804036">
            <w:pPr>
              <w:jc w:val="left"/>
            </w:pPr>
            <w:r>
              <w:t>Latvijas Darba devēju konfederācija</w:t>
            </w:r>
          </w:p>
        </w:tc>
        <w:tc>
          <w:tcPr>
            <w:tcW w:w="6547" w:type="dxa"/>
            <w:shd w:val="clear" w:color="auto" w:fill="FFFFFF" w:themeFill="background1"/>
            <w:noWrap/>
            <w:tcMar>
              <w:top w:w="75" w:type="dxa"/>
              <w:left w:w="75" w:type="dxa"/>
              <w:bottom w:w="75" w:type="dxa"/>
              <w:right w:w="75" w:type="dxa"/>
            </w:tcMar>
            <w:vAlign w:val="center"/>
          </w:tcPr>
          <w:p w14:paraId="471B9C5B" w14:textId="77777777" w:rsidR="00BA1372" w:rsidRDefault="00804036">
            <w:pPr>
              <w:jc w:val="left"/>
            </w:pPr>
            <w:r>
              <w:t xml:space="preserve">LDDK vērš uzmanību, ka, ņemot vērā plānoto programmas piedāvāto īstenošanas ilgumu un ietekmi, pirms tālākas noteikumu virzīšanas atzinumu saņemšanai, nepieciešams saskaņot piedāvāto risinājumu atbilstību Cilvēkkapitāla attīstības padomes ekspertu darba grupas (Pieaugušo izglītības mācību piedāvājuma, kvalitātes un prasmju pilnveidei) izstrādātajiem Cilvēkkapitāla attīstības stratēģijas mērķiem un rīcības </w:t>
            </w:r>
            <w:r>
              <w:lastRenderedPageBreak/>
              <w:t>plānam, nodrošinot savstarpēju sistēmisku pieeju pieaugušo mācību piedāvājuma attīstībai valstī kopumā, lai novērstu neatbilstības riskus kopējai plānotai valsts rīcībpolitikai šajā nozarē.</w:t>
            </w:r>
          </w:p>
        </w:tc>
        <w:tc>
          <w:tcPr>
            <w:tcW w:w="3713" w:type="dxa"/>
            <w:shd w:val="clear" w:color="auto" w:fill="FFFFFF" w:themeFill="background1"/>
            <w:noWrap/>
            <w:tcMar>
              <w:top w:w="75" w:type="dxa"/>
              <w:left w:w="75" w:type="dxa"/>
              <w:bottom w:w="75" w:type="dxa"/>
              <w:right w:w="75" w:type="dxa"/>
            </w:tcMar>
            <w:vAlign w:val="center"/>
          </w:tcPr>
          <w:p w14:paraId="5F5C086C" w14:textId="77777777" w:rsidR="00BA1372" w:rsidRPr="009A409D" w:rsidRDefault="009A409D">
            <w:pPr>
              <w:jc w:val="left"/>
              <w:rPr>
                <w:b/>
                <w:bCs/>
              </w:rPr>
            </w:pPr>
            <w:r w:rsidRPr="009A409D">
              <w:rPr>
                <w:b/>
                <w:bCs/>
              </w:rPr>
              <w:lastRenderedPageBreak/>
              <w:t>ŅEMTS VĒRĀ</w:t>
            </w:r>
          </w:p>
          <w:p w14:paraId="094A1F9C" w14:textId="40839E24" w:rsidR="009A409D" w:rsidRDefault="009A409D">
            <w:pPr>
              <w:jc w:val="left"/>
            </w:pPr>
            <w:r>
              <w:t xml:space="preserve">Skaidrojam, ka 2023.gada 4.decembrī IZM un LDDK pārstāvju sanāksmē panākta vienošanās, ka visu iesaistīto pušu (IZM , EM un LM) savstarpēji saskaņots konceptuālais pieaugušo </w:t>
            </w:r>
            <w:r>
              <w:lastRenderedPageBreak/>
              <w:t>izglītības  pasākumu piedāvājum</w:t>
            </w:r>
            <w:r w:rsidR="51F094CC">
              <w:t>u</w:t>
            </w:r>
            <w:r>
              <w:t xml:space="preserve">s un risinājumus tā īstenošanai tiks atainots EM vadībā izstrādātajā Cilvēkkapitāla attīstības stratēģijā un tās rīcības plānā, kura iestrādē tiks ņemti vērā Valsts kontroles revīzijas “Vai pieaugušo izglītība sasniedz tai izvirzītos mērķus un atbilst darba tirgus vajadzībām?” ziņojumā paustie secinājumi un ieteikumi. Vienlaikus puses vienojās, ka IZM var virzīties ar atkārtotu MK noteikumu projekta saskaņošanu TAP tās plānotajos termiņos, neapturot MK noteikumu virzības procesu līdz 2024.gada 31.janvārim. Attiecīgi pušu panāktai vienošanās MK noteikumu projekta MK sēdes protokollēmumā ietverts nosacījums, ka pēc Cilvēkkapitāla attīstības stratēģijas un tās rīcības plāna pieņemšanas un apstiprināšanas Ministru kabinetā, IZM </w:t>
            </w:r>
            <w:r>
              <w:lastRenderedPageBreak/>
              <w:t>nepieciešamības gadījumā veiks nepieciešamās izmaiņas un grozījumus 4.2.4.2.pasākuma ieviešanas nosacījumos.</w:t>
            </w:r>
          </w:p>
        </w:tc>
        <w:tc>
          <w:tcPr>
            <w:tcW w:w="1793" w:type="dxa"/>
            <w:shd w:val="clear" w:color="auto" w:fill="FFFFFF" w:themeFill="background1"/>
            <w:noWrap/>
            <w:tcMar>
              <w:top w:w="75" w:type="dxa"/>
              <w:left w:w="75" w:type="dxa"/>
              <w:bottom w:w="75" w:type="dxa"/>
              <w:right w:w="75" w:type="dxa"/>
            </w:tcMar>
            <w:vAlign w:val="center"/>
          </w:tcPr>
          <w:p w14:paraId="7BAB6142" w14:textId="77777777" w:rsidR="00BA1372" w:rsidRDefault="00BA1372">
            <w:pPr>
              <w:jc w:val="left"/>
            </w:pPr>
          </w:p>
        </w:tc>
      </w:tr>
    </w:tbl>
    <w:p w14:paraId="592EDF06" w14:textId="77777777" w:rsidR="00C6223C" w:rsidRDefault="00C6223C"/>
    <w:sectPr w:rsidR="00C6223C">
      <w:headerReference w:type="default" r:id="rId9"/>
      <w:footerReference w:type="default" r:id="rId10"/>
      <w:headerReference w:type="first" r:id="rId11"/>
      <w:footerReference w:type="first" r:id="rId12"/>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01052" w14:textId="77777777" w:rsidR="002D386D" w:rsidRDefault="002D386D">
      <w:r>
        <w:separator/>
      </w:r>
    </w:p>
  </w:endnote>
  <w:endnote w:type="continuationSeparator" w:id="0">
    <w:p w14:paraId="064269D9" w14:textId="77777777" w:rsidR="002D386D" w:rsidRDefault="002D3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4A174" w14:textId="77777777" w:rsidR="00BA1372" w:rsidRDefault="00804036">
    <w:pPr>
      <w:jc w:val="right"/>
    </w:pPr>
    <w:r>
      <w:rPr>
        <w:sz w:val="24"/>
        <w:szCs w:val="24"/>
      </w:rPr>
      <w:fldChar w:fldCharType="begin"/>
    </w:r>
    <w:r>
      <w:rPr>
        <w:sz w:val="24"/>
        <w:szCs w:val="24"/>
      </w:rPr>
      <w:instrText>PAGE</w:instrText>
    </w:r>
    <w:r>
      <w:rPr>
        <w:sz w:val="24"/>
        <w:szCs w:val="24"/>
      </w:rPr>
      <w:fldChar w:fldCharType="separate"/>
    </w:r>
    <w:r w:rsidR="007432F1">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10568" w14:textId="77777777" w:rsidR="007170E2" w:rsidRDefault="0080403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C97AD" w14:textId="77777777" w:rsidR="002D386D" w:rsidRDefault="002D386D">
      <w:r>
        <w:separator/>
      </w:r>
    </w:p>
  </w:footnote>
  <w:footnote w:type="continuationSeparator" w:id="0">
    <w:p w14:paraId="767AB505" w14:textId="77777777" w:rsidR="002D386D" w:rsidRDefault="002D3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BDB4" w14:textId="77777777" w:rsidR="00BA1372" w:rsidRDefault="00804036">
    <w:pPr>
      <w:pStyle w:val="Header"/>
      <w:contextualSpacing w:val="0"/>
    </w:pPr>
    <w:r>
      <w:t>Viedokļu pārskats 23-TA-1361</w:t>
    </w:r>
    <w:r>
      <w:br/>
      <w:t>Izdrukāts 10.12.2023. 13.45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B5F92" w14:textId="77777777" w:rsidR="00BA1372" w:rsidRDefault="00804036">
    <w:pPr>
      <w:pStyle w:val="Header"/>
      <w:contextualSpacing w:val="0"/>
    </w:pPr>
    <w:r>
      <w:t>Viedokļu pārskats 23-TA-1361</w:t>
    </w:r>
    <w:r>
      <w:br/>
      <w:t>Izdrukāts 10.12.2023. 13.45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372"/>
    <w:rsid w:val="002D386D"/>
    <w:rsid w:val="004C1198"/>
    <w:rsid w:val="005E2631"/>
    <w:rsid w:val="007170E2"/>
    <w:rsid w:val="007432F1"/>
    <w:rsid w:val="00804036"/>
    <w:rsid w:val="0080AE88"/>
    <w:rsid w:val="009002DC"/>
    <w:rsid w:val="00960FF8"/>
    <w:rsid w:val="009A409D"/>
    <w:rsid w:val="00AD15E0"/>
    <w:rsid w:val="00BA1372"/>
    <w:rsid w:val="00C313FB"/>
    <w:rsid w:val="00C6223C"/>
    <w:rsid w:val="00D25EC0"/>
    <w:rsid w:val="00FC1626"/>
    <w:rsid w:val="044D8EC5"/>
    <w:rsid w:val="058935A1"/>
    <w:rsid w:val="0C9DFBC5"/>
    <w:rsid w:val="124A6AE2"/>
    <w:rsid w:val="19E785FF"/>
    <w:rsid w:val="1C216142"/>
    <w:rsid w:val="24C71EFA"/>
    <w:rsid w:val="30CD721A"/>
    <w:rsid w:val="31220630"/>
    <w:rsid w:val="38EF7E1C"/>
    <w:rsid w:val="39D4FC45"/>
    <w:rsid w:val="3AA476DA"/>
    <w:rsid w:val="3B335BEB"/>
    <w:rsid w:val="3C1538DA"/>
    <w:rsid w:val="3D8C020B"/>
    <w:rsid w:val="3D97AC92"/>
    <w:rsid w:val="40901C8C"/>
    <w:rsid w:val="45DD8190"/>
    <w:rsid w:val="45E72981"/>
    <w:rsid w:val="51F094CC"/>
    <w:rsid w:val="54AE5E84"/>
    <w:rsid w:val="5522EF23"/>
    <w:rsid w:val="582F4D38"/>
    <w:rsid w:val="63908511"/>
    <w:rsid w:val="6B2D6241"/>
    <w:rsid w:val="6C4628A6"/>
    <w:rsid w:val="6D4C1258"/>
    <w:rsid w:val="71E6D9CD"/>
    <w:rsid w:val="7DCBD8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F1ECD"/>
  <w15:docId w15:val="{3E58497D-278B-40FF-9D8B-1C4CF88A8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Emphasis">
    <w:name w:val="Emphasis"/>
    <w:basedOn w:val="DefaultParagraphFont"/>
    <w:uiPriority w:val="20"/>
    <w:qFormat/>
    <w:rsid w:val="00C313FB"/>
    <w:rPr>
      <w:i/>
      <w:iCs/>
    </w:rPr>
  </w:style>
  <w:style w:type="character" w:customStyle="1" w:styleId="normaltextrun">
    <w:name w:val="normaltextrun"/>
    <w:basedOn w:val="DefaultParagraphFont"/>
    <w:rsid w:val="00C31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22C3B4BACCC354FADCDE68687A6FD56" ma:contentTypeVersion="11" ma:contentTypeDescription="Izveidot jaunu dokumentu." ma:contentTypeScope="" ma:versionID="bfb124dcb0df5589942e736c186db9c4">
  <xsd:schema xmlns:xsd="http://www.w3.org/2001/XMLSchema" xmlns:xs="http://www.w3.org/2001/XMLSchema" xmlns:p="http://schemas.microsoft.com/office/2006/metadata/properties" xmlns:ns2="6c5ca3dd-05f6-4bda-9306-c3fae13fa4c6" xmlns:ns3="c827edb8-645e-4eb0-9cd8-bca919933c43" targetNamespace="http://schemas.microsoft.com/office/2006/metadata/properties" ma:root="true" ma:fieldsID="bc01d8bd28492a5de0a503d737be3b4c" ns2:_="" ns3:_="">
    <xsd:import namespace="6c5ca3dd-05f6-4bda-9306-c3fae13fa4c6"/>
    <xsd:import namespace="c827edb8-645e-4eb0-9cd8-bca919933c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ca3dd-05f6-4bda-9306-c3fae13fa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27edb8-645e-4eb0-9cd8-bca919933c43"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CCC3A-0580-4F1B-A8AF-BEF0711F2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ca3dd-05f6-4bda-9306-c3fae13fa4c6"/>
    <ds:schemaRef ds:uri="c827edb8-645e-4eb0-9cd8-bca919933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45570E-9BF8-467B-82E8-A3E8307B49B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71B6EE-7A8B-42CF-AF68-1CCBE931DD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2485</Words>
  <Characters>14168</Characters>
  <Application>Microsoft Office Word</Application>
  <DocSecurity>0</DocSecurity>
  <Lines>118</Lines>
  <Paragraphs>33</Paragraphs>
  <ScaleCrop>false</ScaleCrop>
  <Company/>
  <LinksUpToDate>false</LinksUpToDate>
  <CharactersWithSpaces>16620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viedoklu_parskats_23-TA-1361.docx</dc:title>
  <dc:creator>Līga Vilde-Jurisone</dc:creator>
  <cp:lastModifiedBy>Līga Vilde-Jurisone</cp:lastModifiedBy>
  <cp:revision>3</cp:revision>
  <dcterms:created xsi:type="dcterms:W3CDTF">2023-12-11T14:17:00Z</dcterms:created>
  <dcterms:modified xsi:type="dcterms:W3CDTF">2023-12-12T12:29:00Z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0x010100B22C3B4BACCC354FADCDE68687A6FD56</vt:lpwstr>
  </property>
</Properties>
</file>