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24-TA-2573: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Baznīcas ielā 56, Salacgrīvā,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Civillikuma 2174.panta interpretāciju, jo anotācijā daļēji ir norādītas tiesiskās sekas, kādas iestājas atsavinot nekustamo īpašumu uz likuma pamata, proti, nekustamā īpašuma daļa pāries valsts īpašumā brīva no visiem apgrūtinājumiem un nastām, kuras nekustamajam īpašumam uzliktas saistību rezultātā un par kurām institūcija nav tieši paziņojusi, ka tā uzņemas attiecīgos apgrūtinājumus un nastas.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ja īpašuma (tā daļa) tiek atsavināta, noslēdzot ar nekustamā īpašuma īpašnieku līgumu par nekustamā īpašuma labprātīgu atsavināšanu, tad piemērojami Civillikuma 2174. panta noteikumi, par to, ka ieguvējam (valstij) ir tiesības uzteikt tādu nomas līgumu, kas nav ierakstīts zemesgrāmatā. Nomas līguma uzteikšanas gadījumā, iznomātājam jāatlīdzina nomniekam visi zaudējumi, kādi viņam nodarīti ar līguma priekšlaicīgu izbeigšanu. Savukārt valstij, jādod nomniekam piemērots laiks nomas priekšmeta atdošanai.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attiecīgi precizēta Civillikuma 2174. panta interpretācija.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atsavināmā daļa atrodas ne tikai biosfēras rezervāta ainavu aizsardzības zonas teritorijā, bet arī </w:t>
            </w:r>
            <w:r w:rsidR="00000000" w:rsidRPr="00000000" w:rsidDel="00000000">
              <w:rPr>
                <w:u w:val="single"/>
                <w:rtl w:val="0"/>
              </w:rPr>
              <w:t xml:space="preserve">dabas parka neitrālās zonas teritorijā</w:t>
            </w:r>
            <w:r w:rsidR="00000000" w:rsidRPr="00000000" w:rsidDel="00000000">
              <w:rPr>
                <w:rtl w:val="0"/>
              </w:rPr>
              <w:t xml:space="preserve">, lūdzam anotāciju papildināt ar skaidrojumu, ka pēc nekustamā īpašuma daļas atsavināšanas attiecībā uz tās turpmāko izmantošanu ievērojami arī Ministru kabineta 2010. gada 16. marta noteikumos Nr.264 "Īpaši aizsargājamo dabas teritoriju vispārējie aizsardzības un izmantošanas noteikumi" noteiktie ierobežojumi.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apraksta"</w:t>
            </w:r>
            <w:r w:rsidR="00000000" w:rsidRPr="00000000" w:rsidDel="00000000">
              <w:rPr>
                <w:rtl w:val="0"/>
              </w:rPr>
              <w:t xml:space="preserve"> 1.2.8. apakšpunktā norādīts, ka īpašnieka pilnvarotā persona prasījumus un skaidrojumu par apstākļiem, kas varētu ietekmēt atlīdzības apmēru, neiesniedza, taču iesniedza Institūcijai par Nekustamā īpašuma iznomāšanu un izmantošanu lauksaimniecībā noslēgto nomas līgumu, kas noslēgts ar zemnieku saimniecību "Zīlītes II" un ir spēkā no 2022. gada 1. janvāra līdz 2026. gada 31. decembrim. Tāpat anotācijā norādīts, ka Institūcijā saņemta Īpašnieka pilnvarotās personas piekrišana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saskaņā ar Civillikuma 2300. pantu pilnvarnieks nedrīkst pārkāpt viņam dotā uzdevuma robežas, un viņam jārīkojas vispirms pēc pilnvarotāja norādījumiem. Ņemot vērā minēto, lai pārliecinātos par atsavināmās nekustamā īpašuma daļas īpašnieka pilnvarnieka pilnvarojuma apjomu, lūdzam saskaņā ar Ministru kabineta 2021. gada 7. septembra noteikumu Nr. 606 "Ministru kabineta kārtības rullis" 44. punktu Tiesību akta lietai pievienot anotācijā minēto pilnvaru. Vienlaikus lūdzam pievienot arī pilnvarnieka iesniegto lauksaimniecības zemes nomas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Nekustamā īpašuma īpašnieka noformēts pilnvarojums.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pilnvarnieka iesniegtais lauksaimniecības zemes nomas līgums ir redzams paskaidrojošu dokumentu 101. – 106. lapā, kas ir sertificēta nekustamā īpašuma vērtētāja sagatavotā vērtējuma pielikums (55.-60. lapa).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w:t>
            </w:r>
            <w:r w:rsidR="00000000" w:rsidRPr="00000000" w:rsidDel="00000000">
              <w:rPr>
                <w:b w:val="1"/>
                <w:rtl w:val="0"/>
              </w:rPr>
              <w:t xml:space="preserve">"Pašreizējās situācijas"</w:t>
            </w:r>
            <w:r w:rsidR="00000000" w:rsidRPr="00000000" w:rsidDel="00000000">
              <w:rPr>
                <w:rtl w:val="0"/>
              </w:rPr>
              <w:t xml:space="preserve"> apraksta pēdējā rindkopā norādīto, ka Satiksmes ministrija šobrīd strādā pie risinājuma, lai pēc pašvaldības nozīmes ceļa izbūves šāds ceļš (autoceļš) ar visiem tā kompleksā ietilpstošajiem elementiem būtu nododams pašvaldības īpašumā, tiesiskai skaidrībai aicinām anotācijā paskaidrot detalizētāk, pie kādiem tieši iepējamiem risinājumiem Satiksmes  ministrija šobrīd strādā.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norādīt datumu, kurā saskaņā ar Sabiedrības vajadzībām nepieciešamā īpašuma atsavināšanas likuma 18. panta pirmo daļu sabiedrība ar ierobežotu atbildību "EIROPAS DZELZCEĻA LĪNIJAS"  nosūtīja atsavināšanai paredzētās nekustamā īpašuma daļas īpašniekam paziņojumu Nr. 2.3.N/2023-4241 "Paziņojums par nekustamā īpašuma Baznīcas ielā 56, Salacgrīvā, Limbažu novadā, kadastra Nr. 66150040198, daļas atsavināšanas nepieciešamību sabiedrības vajadzību nodrošināšanai" (sk. </w:t>
            </w:r>
            <w:r w:rsidR="00000000" w:rsidRPr="00000000" w:rsidDel="00000000">
              <w:rPr>
                <w:b w:val="1"/>
                <w:rtl w:val="0"/>
              </w:rPr>
              <w:t xml:space="preserve">"Problēmas apraksta"</w:t>
            </w:r>
            <w:r w:rsidR="00000000" w:rsidRPr="00000000" w:rsidDel="00000000">
              <w:rPr>
                <w:rtl w:val="0"/>
              </w:rPr>
              <w:t xml:space="preserve"> 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24-TA-2573</w:t>
    </w:r>
    <w:r>
      <w:br/>
    </w:r>
    <w:r w:rsidR="00000000" w:rsidRPr="00000000" w:rsidDel="00000000">
      <w:rPr>
        <w:rtl w:val="0"/>
      </w:rPr>
      <w:t xml:space="preserve">19.11.2024. 09.48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24-TA-2573</w:t>
    </w:r>
    <w:r>
      <w:br/>
    </w:r>
    <w:r w:rsidR="00000000" w:rsidRPr="00000000" w:rsidDel="00000000">
      <w:rPr>
        <w:rtl w:val="0"/>
      </w:rPr>
      <w:t xml:space="preserve">19.11.2024. 09.48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Izziņa_24-TA-2573.docx</dc:title>
</cp:coreProperties>
</file>

<file path=docProps/custom.xml><?xml version="1.0" encoding="utf-8"?>
<Properties xmlns="http://schemas.openxmlformats.org/officeDocument/2006/custom-properties" xmlns:vt="http://schemas.openxmlformats.org/officeDocument/2006/docPropsVTypes"/>
</file>