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22-TA-2224: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10. oktobra noteikumos Nr. 621 "Noteikumi par augļu un dārzeņu ražotāju organizācijām"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ne tikai pieminēt izdarītos precizējumus noteikumos saistībā ar iepirkuma procedūrām, bet arī tos pamatot saskaņā ar Ministru kabineta 2021. gada 7. septembra noteikumu Nr. 617 "Tiesību akta projekta sākotnējās ietekmes izvērtēšanas kārtība" 9.1.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detalizētāk skaidrot arī izmaiņas, kas paredzētas: 1) noteikumu 62. punkta ievaddaļā attiecībā uz iesnieguma saturu; 2) noteikumu 102. punktā, skaidrojot, kāda ir paredzēto izmaiņu atšķirība no spēkā esošās redakcijas un kādā veidā izmaiņas novērš pārpratumus, kas var beigties ar soda sankcijām.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62. punkta ievaddaļa tika svītrota, jo regulas Nr. 2017/891 31. panta 4. punkta "a" apakšpunkts  paredz, ka iegūtie materiālie aktīvi tiek izmantoti atbilstīgi paredzētajam lietojumam. Regulas ir tieši piemērojams un tādējādi attiecīgā norma nav jāpārņem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attiecībā uz pārējiem noteikumu 62. punktā paredzētajiem grozījumiem ir veikti precizējumi anotācijā, sniedzot skaidrojumu par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gadījumā papildus dokumentus jāiesniedz tikai tad, ja attiecīgie dokumenti nav pieejami Būvniecības informācijas sistēmā (precizējums noteikumu 62.5.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augu pases vai etiķetes kopijas par ilggadīgo kultūraugu stādāmo materiālu iesniegšanu tiek paredzēts, ka to iesniedz, ja iegādātajiem ilggadīgo augļkopības kultūraugu stādiem saskaņā ar normatīvajiem aktiem par augu karantīnu nepieciešamas augu pases vai etiķetes (precizējums noteikumu 62.10.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izmantotu vienotu terminu attiecībā uz ES atbalstu, vārdi "konta izraksts" aizstāts ar " konta pārskats" (precizējums noteikumu 62.1. apakšpunktā) kā to paredz Ministru kabineta 2014. gada 30. septembra noteikumi Nr. 598 "Noteikumi par valsts un Eiropas Savienības atbalsta piešķiršanu, administrēšanu un uzraudzību lauku un zivsaimniecības attīstībai 2014.–2020.gada plānošanas periodā, kā arī pārejas laikā 2021. un 2022.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ir sniegts skaidrojums par nepieciešamajiem grozījumiem noteikumu 102. punktā. Noteikumu 51. punkts nosaka, ka atbilstoši regulas Nr. 2017/891 31. panta 5. punkta otrajai daļai visi ieguldījumi saskaņā ar apstiprināto darbības programmu ir RO īpašums visu tās uzraudzības periodu – piecus gadus pēc pēdējā atbalsta maksājuma saņemšanas. Tomēr neskaidrības rodas gadījumos, kā jārīkojas RO tajos gadījumos, ja tā nolemj neīstenot darbības programmu un nepretendēt uz atbalstu. Tādējādi, lai arī  RO nolemj neīstenot darbības programmu un nepretendēt uz atbalstu, tai visu uzraudzības periodu ir jāsniedz LAD informācija, lai LAD varētu izvērtēt tās atbilstību RO atzīšanas kritērijiem. Attiecīgā informācija ir jāiesniedz nevis līdz kārtējā gada 15. septembrim kā to paredz noteikumu 102. punkts, bet gan līdz 15. februārim par iepriekšējo gadu (t.i., šajā gadījumā RO nav jāsniedz informācija par darbības programmas īstenotajiem pasākumiem un atbalsta pieprasījums kā to paredz noteikumu 62. punkts, bet jāsniedz informācija par RO - biedru skaits, saražotā produkcijas u.c.). Tādējādi tika precizēta noteikumu 102. punkta redakcija, paredzot, ka RO, kas iepriekšējā gadā nav īstenojusi darbības programmu, līdz attiecīgā gada 15. februārim iesniedz dienestā informāciju atbilstoši šo noteikumu 7. pielikuma 1. sadaļai par iepriekšējo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izmaiņām 7. pielikumā minēts: "Turklāt ES tiesību aktos ir izdarīti precizējumi attiecībā uz to informācijas apjomu, kas jāietver gada ziņojumā par darbības programmas īstenošanu, tāpēc attiecīgi jāprecizē noteikumu 7. pielikums." Ņemot vērā minēto, lūdzam precizēt anotācijas 5. sadaļu, tostarp 5.4. sadaļas 1. tabulu, ja 7. pielikumā ieviestas vai pārņemtas kādas Eiropas Savienības tiesību aktu prasības.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informācija, kādēļ ir jāveic grozījumi 7. pielikumā. RO ikgadējam atbalsta iesniegumam pievieno gada ziņojumu par darbības programmu īstenošanu (turpmāk – gada ziņojums) saskaņā ar noteikumu 62.7. apakšpunktu. Turklāt 2021. gada 30. jūnijā EK ir apstiprinājusi jaunus skaidrojumus, kurā sniegti vispārīgi noteikumi un tehniski skaidrojumi gada ziņojuma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 apstiprinātos jaunus skaidrojumus, noteikumu projekts paredz precizēt 7. pielikumu, pārskatot gada ziņojumā ietveramo informācijas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tabulā norādīto ieviesto regulas Nr. 2017/891 vienību (proti, nevis 31. panta 2. punkta pirmā daļa, bet 31. panta 2. punkts). Papildus aicinām, ņemot vērā izmaiņas noteikumu projekta vienību numerācijā atkārtotajā saskaņošanā, precizēt tabulā norādītās noteikumu projekta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veikti attiecīgi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izziņā iekļauto skaidrojumu par izmaiņām noteikumu 35. punktā (proti, labiekārtošanas sasaistīšanu ar attiecīgu būvi, pārbūvi vai atjaunošanu) iekļaut arī anotācijā. Lūdzam arī sniegt skaidrojumu anotācijā, vai noteikumu 36.</w:t>
            </w:r>
            <w:r w:rsidR="00000000" w:rsidRPr="00000000" w:rsidDel="00000000">
              <w:rPr>
                <w:vertAlign w:val="superscript"/>
                <w:rtl w:val="0"/>
              </w:rPr>
              <w:t xml:space="preserve">1</w:t>
            </w:r>
            <w:r w:rsidR="00000000" w:rsidRPr="00000000" w:rsidDel="00000000">
              <w:rPr>
                <w:rtl w:val="0"/>
              </w:rPr>
              <w:t xml:space="preserve"> punktā iekļautā atsauce uz "noteikumu 35.1.3., 35.1.11., 35.1.12., 35.2.2., 35.2.7., 35.2.13. un 35.3.13. apakšpunktā minēto būvniecību" saprotama tādējādi, ka norma piemērojama tikai attiecīgajās vienībās minētajiem būvniecības pasākumiem (kā tas izriet arī no 36.</w:t>
            </w:r>
            <w:r w:rsidR="00000000" w:rsidRPr="00000000" w:rsidDel="00000000">
              <w:rPr>
                <w:vertAlign w:val="superscript"/>
                <w:rtl w:val="0"/>
              </w:rPr>
              <w:t xml:space="preserve">1</w:t>
            </w:r>
            <w:r w:rsidR="00000000" w:rsidRPr="00000000" w:rsidDel="00000000">
              <w:rPr>
                <w:rtl w:val="0"/>
              </w:rPr>
              <w:t xml:space="preserve"> punkta apakšpunktiem) un ne attiecīgajās vienībās minētajam teritorijas labiekārtošanas pasākumam (piemēram, zāliena iekārtošana). Alternatīvi lūdzam precizēt noteikumu 36.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 Pēc būvniecības, pārbūves, atjaunošanas vai ierīkošanas ir nepieciešams arī labiekārtot apkārtējo teritoriju – tā var būt ne tikai laukuma iekārtošana, bet arī zāliena iekārtošana. Noteikumu 5. pielikuma 12. punkts paredz maksimālās attiecināmās izmaksas attiecībā uz labiekārtošanu, bet ir nepieciešams teritorijas labiekārtošanu sasaistīt ar attiecīgu būvi, pārbūvi vai atjaunošanu. Tajā pašā laikā jāatzīmē, ka noteikumu 36.</w:t>
            </w:r>
            <w:r w:rsidR="00000000" w:rsidRPr="00000000" w:rsidDel="00000000">
              <w:rPr>
                <w:vertAlign w:val="superscript"/>
                <w:rtl w:val="0"/>
              </w:rPr>
              <w:t xml:space="preserve">1</w:t>
            </w:r>
            <w:r w:rsidR="00000000" w:rsidRPr="00000000" w:rsidDel="00000000">
              <w:rPr>
                <w:rtl w:val="0"/>
              </w:rPr>
              <w:t xml:space="preserve"> punktā minētā būvniecība ietver arī teritorijas labiekārtošanu, ja tā saistīta ar betonētu vai asfaltētu, bruģētu laukumu bez komunikācijām ierīkošanu u.tml., izņemot zāliena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atbalsta pasākumus, attiecīgi precizētas atsauces saistībā ar būvniecību – noteikumu 36.</w:t>
            </w:r>
            <w:r w:rsidR="00000000" w:rsidRPr="00000000" w:rsidDel="00000000">
              <w:rPr>
                <w:vertAlign w:val="superscript"/>
                <w:rtl w:val="0"/>
              </w:rPr>
              <w:t xml:space="preserve">1</w:t>
            </w:r>
            <w:r w:rsidR="00000000" w:rsidRPr="00000000" w:rsidDel="00000000">
              <w:rPr>
                <w:rtl w:val="0"/>
              </w:rPr>
              <w:t xml:space="preserve"> punktā, kā arī iekļauts jauns 36.</w:t>
            </w:r>
            <w:r w:rsidR="00000000" w:rsidRPr="00000000" w:rsidDel="00000000">
              <w:rPr>
                <w:vertAlign w:val="superscript"/>
                <w:rtl w:val="0"/>
              </w:rPr>
              <w:t xml:space="preserve">2</w:t>
            </w:r>
            <w:r w:rsidR="00000000" w:rsidRPr="00000000" w:rsidDel="00000000">
              <w:rPr>
                <w:rtl w:val="0"/>
              </w:rPr>
              <w:t xml:space="preserve"> punkts, lai padarītu skaidrāku noteikumu 5. pielikuma izmantošanu. Jāatzīmē, ka būvniecība ietver arī teritorijas labiekārtošanu, piemēram, betonētu vai asfaltētu, bruģētu laukumu bez komunikācijām ierīkošana u.tml., izņemot zāliena ierīkošanu.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 noteikumu 112. punktā paredzēti pārejas noteikumi, t.i., ka šī kārtība par rezultatīvajiem rādītājiem tiks attiecināta tikai uz tām RO, kas jaunās darbības programmas iesniegs līdz 2022. gada 15. septembrim." Attiecīgi aicinām izvērtēt iespēju precizēt pārejas noteikumu 112. punktu, iekļaujot tajā arī atsauci uz attiecīgajām 10. pielikuma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minētā informācija, šķiet, ir pretrunā ar 112. punktā iekļauto norādi tikai uz 25.</w:t>
            </w:r>
            <w:r w:rsidR="00000000" w:rsidRPr="00000000" w:rsidDel="00000000">
              <w:rPr>
                <w:vertAlign w:val="superscript"/>
                <w:rtl w:val="0"/>
              </w:rPr>
              <w:t xml:space="preserve">1</w:t>
            </w:r>
            <w:r w:rsidR="00000000" w:rsidRPr="00000000" w:rsidDel="00000000">
              <w:rPr>
                <w:rtl w:val="0"/>
              </w:rPr>
              <w:t xml:space="preserve"> 2. apakšpunktu (nevis visu 25.</w:t>
            </w:r>
            <w:r w:rsidR="00000000" w:rsidRPr="00000000" w:rsidDel="00000000">
              <w:rPr>
                <w:vertAlign w:val="superscript"/>
                <w:rtl w:val="0"/>
              </w:rPr>
              <w:t xml:space="preserve">1</w:t>
            </w:r>
            <w:r w:rsidR="00000000" w:rsidRPr="00000000" w:rsidDel="00000000">
              <w:rPr>
                <w:rtl w:val="0"/>
              </w:rPr>
              <w:t xml:space="preserve"> punktu) (sk. 10. pielikuma 15. punkta formulējumu). Attiecīgi lūdzam precizēt anotācijā iekļauto informāciju vai precizēt projektu. Alternatīvi lūdzam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112. punktā precizējumi nav nepieciešami. Lai ievērotu samērīguma principu, noteikumu 112. punktā paredzēti pārejas noteikumi, kas paredz, ka nosacījumi par mērķrādītājiem (t.i., noteikumu 25.</w:t>
            </w:r>
            <w:r w:rsidR="00000000" w:rsidRPr="00000000" w:rsidDel="00000000">
              <w:rPr>
                <w:vertAlign w:val="superscript"/>
                <w:rtl w:val="0"/>
              </w:rPr>
              <w:t xml:space="preserve">1</w:t>
            </w:r>
            <w:r w:rsidR="00000000" w:rsidRPr="00000000" w:rsidDel="00000000">
              <w:rPr>
                <w:rtl w:val="0"/>
              </w:rPr>
              <w:t xml:space="preserve">2. apakšpunkts,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punkts un noteikumu 10. pielikuma 14. punkts un 15.2.apakšpunkts) tiks attiecināti tikai uz tām RO, kas jaunās darbības programmas iesniegs līdz 2022. gada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papildināta anotācija. Iesniedzot darbības programmu vai grozījumus tajā, RO saskaņā ar noteikumu 25.</w:t>
            </w:r>
            <w:r w:rsidR="00000000" w:rsidRPr="00000000" w:rsidDel="00000000">
              <w:rPr>
                <w:vertAlign w:val="superscript"/>
                <w:rtl w:val="0"/>
              </w:rPr>
              <w:t xml:space="preserve">1</w:t>
            </w:r>
            <w:r w:rsidR="00000000" w:rsidRPr="00000000" w:rsidDel="00000000">
              <w:rPr>
                <w:rtl w:val="0"/>
              </w:rPr>
              <w:t xml:space="preserve">1. apakšpunktu pievieno detalizētu aprakstu par katru īstenojamo pasākumu (mērķis, funkcija, raksturojošie parametri, ieguldījums ražotāju organizācijas darbības programmas kopējo mērķu sasniegšanā, plānotās izmaksas un to atbilstība konkrētā pasākuma tirgus cenai). Tas LAD ļaus pārliecināties par darbības programmā iekļauto izmaksu pamatotību un izsvērtību, kā arī plānoto izdevumu attiecinātību. Attiecīgi tiek papildināts noteikumu 10. pielikums, iekļaujot jaunu 15. punkta 1. apakšpunktu, kas paredz sankcijas par šo prasību neievērošanu. Ja, iesniedzot darbības programmu vai grozījumus tajā, RO nav pievienojusi detalizētu aprakstu par katru īstenojamo pasākumu, tad attiecīgās darbības programmas vai tās grozījumu apstiprinājumu atliek līdz nākamajam gadam, līdz ir sagatavota detalizēta informācija. Ņemot vērā, ka RO veic grozījumus darbības programmās (saskaņā ar noteikumu projektu 2 reizes gadā – līdzšinējā prakse rāda, ka grozījumi darbības programmās parasti ir gada sākumā vai gada nogalē), tad nepieciešams, lai noteikumu 25.</w:t>
            </w:r>
            <w:r w:rsidR="00000000" w:rsidRPr="00000000" w:rsidDel="00000000">
              <w:rPr>
                <w:vertAlign w:val="superscript"/>
                <w:rtl w:val="0"/>
              </w:rPr>
              <w:t xml:space="preserve">1</w:t>
            </w:r>
            <w:r w:rsidR="00000000" w:rsidRPr="00000000" w:rsidDel="00000000">
              <w:rPr>
                <w:rtl w:val="0"/>
              </w:rPr>
              <w:t xml:space="preserve">1. apakšpunkts un noteikumu 10. pielikuma 15. punkta 1. apakšpunkts  stātos spēkā jau ar noteikumu stāšanās spēkā brīdi. Tas ļaus novērst gadījumus, kad nepieciešamā informācija ļaunprātīgi netiek iesniegta.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darbības programmas mērķu sasniegšanu un panākto progresu, ar noteikumu projektu noteikumos tiek iekļauti jauni punkti –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paredzot, ka RO, īstenojot darbības programmu, saskaņā ar regulas 2017/892 4. panta 1. punkta "b" apakšpunktu izpilda darbības programmā izvēlētos regulas Nr. 1308/2013 33. panta 1. punktā un 152. panta 1. punkta "c" apakšpunktā noteiktos mērķus un sasniedz vismaz vienu no kritērijiem (RO kopējā pārdotās attiecināmās produkcijas vērtības palielinājums, RO biedru skaits nav samazinājies vai ir palielinājies, ar RO starpniecību pārdotās attiecināmās produkcijas procentuālais apjoms noteiktam skaitam RO biedru ir palielinājies), pašai nosakot sasniedzamo mērķrādītāju. Lai paredzētu lielāku elastību attiecībā uz sasniedzamiem kritērijiem un izpildes rādītājiem, projekts paredz, ka RO ir tiesības noteikt citus kritērijus un sasniedzamos mērķrādītājus. Turklāt projekts 25.</w:t>
            </w:r>
            <w:r w:rsidR="00000000" w:rsidRPr="00000000" w:rsidDel="00000000">
              <w:rPr>
                <w:vertAlign w:val="superscript"/>
                <w:rtl w:val="0"/>
              </w:rPr>
              <w:t xml:space="preserve">1</w:t>
            </w:r>
            <w:r w:rsidR="00000000" w:rsidRPr="00000000" w:rsidDel="00000000">
              <w:rPr>
                <w:rtl w:val="0"/>
              </w:rPr>
              <w:t xml:space="preserve">2. apakšpunktā paredz, ka RO ir jāsniedz skaidrojums par darbības programmā īstenojamo pasākuma atbilstību iepriekš minētajiem  kritērijiem un RO noteiktajiem sasniedzamajiem mērķrādītājiem.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papildināts arī noteikumu 2. pielikums, iekļaujot jaunu C.10. sadaļu, kā arī noteikumu 10. pielikums, iekļaujot jaunu 14. punktu un 15.2. apakšpunktu, kurā noteiktas sankcijas par šo prasību neievērošanu.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ievērotu samērīguma principu, noteikumu 112. punktā paredzēti pārejas noteikumi, kas paredz, ka nosacījumi par mērķrādītājiem (t.i., noteikumu 25.</w:t>
            </w:r>
            <w:r w:rsidR="00000000" w:rsidRPr="00000000" w:rsidDel="00000000">
              <w:rPr>
                <w:vertAlign w:val="superscript"/>
                <w:rtl w:val="0"/>
              </w:rPr>
              <w:t xml:space="preserve">1</w:t>
            </w:r>
            <w:r w:rsidR="00000000" w:rsidRPr="00000000" w:rsidDel="00000000">
              <w:rPr>
                <w:rtl w:val="0"/>
              </w:rPr>
              <w:t xml:space="preserve">2. apakšpunkts,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punkts un noteikumu 10. pielikuma 14. punkts un 15. punkta 2. apakšpunkts) tiks attiecināti tikai uz tām RO, kas jaunās darbības programmas iesniegs līdz 2022. gada 15. 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Iesniedzot šo noteikumu 25. punktā minēto darbības programmu vai grozījumus tajā, ražotāju organizācija saskaņā ar regulas Nr. 2017/892 25. panta 1. punkta "d" apakšpunktu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9. punktā izteiktajā noteikumu 25.</w:t>
            </w:r>
            <w:r w:rsidR="00000000" w:rsidRPr="00000000" w:rsidDel="00000000">
              <w:rPr>
                <w:vertAlign w:val="superscript"/>
                <w:rtl w:val="0"/>
              </w:rPr>
              <w:t xml:space="preserve">1</w:t>
            </w:r>
            <w:r w:rsidR="00000000" w:rsidRPr="00000000" w:rsidDel="00000000">
              <w:rPr>
                <w:rtl w:val="0"/>
              </w:rPr>
              <w:t xml:space="preserve"> punkta ievaddaļā ietvertā atsauce uz regulas Nr. 2017/892 25. panta 1. punkta "d" apakšpunktu nav korekta, ņemot vērā, ka minētā norma ir par dalībvalstu pārbaudēm un noteic, ka tās citastarp attiecas uz programmas saskanību un tehnisko kvalitāti, aplēšu un atbalsta plāna izsvērtību un īstenošanas plānošanu. Proti, minētā norma nenoteic nekādus uz ražotāju organizāciju attiecināmus pienākumus, attiecīgi nav saprotama minētās atsauces izdarīšana. Attiecīgi lūdzam precizēt noteikumu projekta 9. punktu, attiecīgi precizējot anotāciju, vai sniegt skaidrojumu. Līdzīgi lūdzam izvērtēt arī noteikumu projekta 10. punktā izteiktā noteikumu 25.</w:t>
            </w:r>
            <w:r w:rsidR="00000000" w:rsidRPr="00000000" w:rsidDel="00000000">
              <w:rPr>
                <w:vertAlign w:val="superscript"/>
                <w:rtl w:val="0"/>
              </w:rPr>
              <w:t xml:space="preserve">2</w:t>
            </w:r>
            <w:r w:rsidR="00000000" w:rsidRPr="00000000" w:rsidDel="00000000">
              <w:rPr>
                <w:rtl w:val="0"/>
              </w:rPr>
              <w:t xml:space="preserve"> punktā ietverto atsauci uz regulas Nr. 2017/892 4. panta 1. punkta "b" apakšpunktu, kas noteic darbības programmā ietveramo saturu, nevis kādas izpildāmas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25.</w:t>
            </w:r>
            <w:r w:rsidR="00000000" w:rsidRPr="00000000" w:rsidDel="00000000">
              <w:rPr>
                <w:vertAlign w:val="superscript"/>
                <w:rtl w:val="0"/>
              </w:rPr>
              <w:t xml:space="preserve">1 </w:t>
            </w:r>
            <w:r w:rsidR="00000000" w:rsidRPr="00000000" w:rsidDel="00000000">
              <w:rPr>
                <w:rtl w:val="0"/>
              </w:rPr>
              <w:t xml:space="preserve">punkts precizēts, kā arī veikti papildinājumi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 audita ziņojumus par citās valstīs īstenotiem auditiem un to rezultātiem, t.i., ka administrējošai iestādei saskaņā ar regulas 2017/892 25. panta 1. punkta "c" un "d" apakšpunktu ir jāpārliecinās arī par darbības programmā iekļauto izmaksu pamatotību un izsvērtību, tika secināts, ka trūkst informācijas par darbības programmā iekļauto pasākumu mērķiem, funkcijām, raksturojošiem parametriem, plānotajām izmaksām un to nozīmi attiecīgās RO darbības programmas kopējo mērķu sasniegšanā. Lai LAD varētu veikt regulas 2017/892 25. panta 1. punkta "c" un "d" apakšpunktā noteiktās pārbaudes, izvērtējot RO iesniegtās darbības programmas, un lai LAD veiktās kontroles tiktu novērtētas kā pietiekamas, ir nepieciešams saņemt informāciju no RO par darbības programmā ietvertajiem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arī 25.</w:t>
            </w:r>
            <w:r w:rsidR="00000000" w:rsidRPr="00000000" w:rsidDel="00000000">
              <w:rPr>
                <w:vertAlign w:val="superscript"/>
                <w:rtl w:val="0"/>
              </w:rPr>
              <w:t xml:space="preserve">2 </w:t>
            </w:r>
            <w:r w:rsidR="00000000" w:rsidRPr="00000000" w:rsidDel="00000000">
              <w:rPr>
                <w:rtl w:val="0"/>
              </w:rPr>
              <w:t xml:space="preserve">punkts, kā arī veikti papildinājumi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Agroresursu un ekonomikas institūta pētījuma "Augļu un dārzeņu nozares ražotāju organizāciju ilgtspējas, ražošanas efektivitātes un tirgus varas stiprināšanas (2013.–2018. gads) izpēte" rezultātiem, tika secināts,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 darbības programmās nav atsauces uz regulas Nr. 1308/2013 152. panta 1. punkta "c" apakšpunktā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regulas 2017/892 4. panta 1. punkta "b" apakšpunktu RO darbības programmām netiek izvirzīti noteikti izmērāmi mērķrādītāji, kas ļautu uzraudzīt panākto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 punkts jau šobrīd nosaka, ka RO, atbilstoši regulas Nr.  2017/892 4. pantam un regulas Nr.  2017/891 30. panta 3. punktam un 31. pantam, kā arī regulas Nr.  1308/2013 33. pantam izstrādā darbības programmu (2. pielikums) un nosaka darbības programmas mērķus, taču netika izvirzīta prasība noteikt izmērāmus mērķrādītājus. Regulas 2017/892 4. panta 1. punkta "b" apakšpunkts nosaka, ka darbības programmās izklāsta gan darbības programmas mērķus, kā arī norāda izmērāmus mērķrādītājus, kas savukārt atvieglotu novērtēt darbības programmas īstenošanas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izvērtētu darbības programmas mērķu sasniegšanu un panākto progresu, nepieciešams iekļaut jaunu 25.</w:t>
            </w:r>
            <w:r w:rsidR="00000000" w:rsidRPr="00000000" w:rsidDel="00000000">
              <w:rPr>
                <w:vertAlign w:val="superscript"/>
                <w:rtl w:val="0"/>
              </w:rPr>
              <w:t xml:space="preserve">2 </w:t>
            </w:r>
            <w:r w:rsidR="00000000" w:rsidRPr="00000000" w:rsidDel="00000000">
              <w:rPr>
                <w:rtl w:val="0"/>
              </w:rPr>
              <w:t xml:space="preserve">un 25.</w:t>
            </w:r>
            <w:r w:rsidR="00000000" w:rsidRPr="00000000" w:rsidDel="00000000">
              <w:rPr>
                <w:vertAlign w:val="superscript"/>
                <w:rtl w:val="0"/>
              </w:rPr>
              <w:t xml:space="preserve">3 </w:t>
            </w:r>
            <w:r w:rsidR="00000000" w:rsidRPr="00000000" w:rsidDel="00000000">
              <w:rPr>
                <w:rtl w:val="0"/>
              </w:rPr>
              <w:t xml:space="preserve">punktu, kā arī precizēt 2.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Lai dienests īstenotu regulas Nr. 2017/892 25. panta 1. punkta "c" un "d" apakšpunktā noteiktās pārbaudes, ražotāju organizācija, iesniedzot šo noteikumu 25. punktā minēto darbības programmu vai grozījumus tajā, pievieno: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Lai dienests pārbaudītu darbības programmas izsvērtību, kvalitāti un izdevumu attiecinātību atbilstoši regulas Nr. 2017/891 25. panta 1. punkta "d" apakšpunktam, ražotāju organizācija, iesniedzot šo noteikumu 25. punktā minēto darbības programmu vai grozījumus tajā,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9. punktā izteiktajā noteikumu 25.1 punktā ietverto formulējumu (attiecībā uz to, ko tieši dienests pārbauda) un, ja nepieciešams, atsauci uz regulas Nr. 2017/891 25. panta 1. punkta apakšvienību. Proti, aicinām izmantot tādu pašu terminoloģiju kā regulā, ņemot vērā, ka regulas ir tieši piemērojamas un atšķirīgas terminoloģijas izmantošana var novest pie nevienveidīgas to piemērošanas dalībvalstīs. Papildus norādām, ka izdevumu attiecināmība ir norādīta regulas Nr. 2017/891 25. panta 1. punkta "c" apakšpunktā. Attiecīgi lūdzam izvērtēt un precizēt normu, attiecīgi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25.</w:t>
            </w:r>
            <w:r w:rsidR="00000000" w:rsidRPr="00000000" w:rsidDel="00000000">
              <w:rPr>
                <w:vertAlign w:val="superscript"/>
                <w:rtl w:val="0"/>
              </w:rPr>
              <w:t xml:space="preserve">1 </w:t>
            </w:r>
            <w:r w:rsidR="00000000" w:rsidRPr="00000000" w:rsidDel="00000000">
              <w:rPr>
                <w:rtl w:val="0"/>
              </w:rPr>
              <w:t xml:space="preserve">punktā, kā arī attiecīgi precizēta anotācija (t.sk. anotācijas 5.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Lai dienests īstenotu regulas Nr. 2017/892 25. panta 1. punkta "c" un "d" apakšpunktā noteiktās pārbaudes, ražotāju organizācija, iesniedzot šo noteikumu 25. punktā minēto darbības programmu vai grozījumus tajā, pievieno: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 skaidrojumu par darbības programmā īstenojamo pasākumu atbilstību šo noteikumu 25.</w:t>
            </w:r>
            <w:r w:rsidR="00000000" w:rsidRPr="00000000" w:rsidDel="00000000">
              <w:rPr>
                <w:vertAlign w:val="superscript"/>
                <w:rtl w:val="0"/>
              </w:rPr>
              <w:t xml:space="preserve">2</w:t>
            </w:r>
            <w:r w:rsidR="00000000" w:rsidRPr="00000000" w:rsidDel="00000000">
              <w:rPr>
                <w:rtl w:val="0"/>
              </w:rPr>
              <w:t xml:space="preserve"> punktā minētajiem  kritērijiem un ražotāju organizācijas noteiktajiem sasniedzamajiem rezultatīvajiem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2017/892 4. panta 1. punkta "b" apakšpunktā lietots termins "mērķrādītāji", nevis "rezultatīvie rādītāji", lūdzam šo terminu lietot arī noteikumu projektā. Ja ar rezultatīvajiem rādītājiem tiek saprasti citi rādītāji, nevis mērķrādītāji atbilstoši minētajai regulas normai, lūdzam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25.</w:t>
            </w:r>
            <w:r w:rsidR="00000000" w:rsidRPr="00000000" w:rsidDel="00000000">
              <w:rPr>
                <w:vertAlign w:val="superscript"/>
                <w:rtl w:val="0"/>
              </w:rPr>
              <w:t xml:space="preserve">1</w:t>
            </w:r>
            <w:r w:rsidR="00000000" w:rsidRPr="00000000" w:rsidDel="00000000">
              <w:rPr>
                <w:rtl w:val="0"/>
              </w:rPr>
              <w:t xml:space="preserve">, 25.</w:t>
            </w:r>
            <w:r w:rsidR="00000000" w:rsidRPr="00000000" w:rsidDel="00000000">
              <w:rPr>
                <w:vertAlign w:val="superscript"/>
                <w:rtl w:val="0"/>
              </w:rPr>
              <w:t xml:space="preserve">2 </w:t>
            </w:r>
            <w:r w:rsidR="00000000" w:rsidRPr="00000000" w:rsidDel="00000000">
              <w:rPr>
                <w:rtl w:val="0"/>
              </w:rPr>
              <w:t xml:space="preserve">un 25.</w:t>
            </w:r>
            <w:r w:rsidR="00000000" w:rsidRPr="00000000" w:rsidDel="00000000">
              <w:rPr>
                <w:vertAlign w:val="superscript"/>
                <w:rtl w:val="0"/>
              </w:rPr>
              <w:t xml:space="preserve">3 </w:t>
            </w:r>
            <w:r w:rsidR="00000000" w:rsidRPr="00000000" w:rsidDel="00000000">
              <w:rPr>
                <w:rtl w:val="0"/>
              </w:rPr>
              <w:t xml:space="preserve">punkts un 2. pielikums, lietojot terminu "mērķrādītājs". Attiecīgi veikti precizējumi arī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 skaidrojumu par darbības programmā īstenojamo pasākumu atbilstību šo noteikumu 25.</w:t>
            </w:r>
            <w:r w:rsidR="00000000" w:rsidRPr="00000000" w:rsidDel="00000000">
              <w:rPr>
                <w:vertAlign w:val="superscript"/>
                <w:rtl w:val="0"/>
              </w:rPr>
              <w:t xml:space="preserve">2</w:t>
            </w:r>
            <w:r w:rsidR="00000000" w:rsidRPr="00000000" w:rsidDel="00000000">
              <w:rPr>
                <w:rtl w:val="0"/>
              </w:rPr>
              <w:t xml:space="preserve"> punktā minētajiem  kritērijiem un ražotāju organizācijas noteiktajiem sasniedzamajiem mērķrādītājiem.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Ražotāju organizācija līdz regulas Nr. 2017/892 9. panta 1. punktā noteiktajam termiņam iesniedz dienestā atbalsta iesniegumu (6. pielikums) par tiem darbības programmas pasākumiem, kas ir pilnībā īstenoti, un par iegādāto tehniku, iekārtu, inventāru vai aprīkojumu, kas ir darba kārtībā un nodrošina tam paredzētās funkcijas, pievienojot tam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frāzes "lai saņemtu šo noteikumu 54.1. apakšpunktā minēto maksājumu" svītrošanu noteikumu projekta 25. punktā izteiktajā noteikumu 62. punktā. Vēršam uzmanību, ka, svītrojot minēto frāzi 62. punktā, pietiekams regulējums par 54.1. apakšpunktā minētā maksājuma saņemšanu nav paredzēts citur noteikumos (salīdzinājumam sk. noteikumu 65. punktā ietverto atsauci uz 54.2. apakšpunktu un 67. punktā ietverto atsauci uz 54.3. apakšpunktu), kā arī izmaiņas netiek skaidrotas anotācijā. Attiecīgi lūdzam sniegt skaidrojumu vai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šo noteikumu 54.1. apakšpounktu svītrošana bija kļūdaina. Atsauce ievietota atpakaļ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Lai ražotāju organizācija saņemtu šo noteikumu 54.1. apakšpunktā minēto maksājumu, tā līdz regulas Nr. 2017/892 9. panta 1. punktā noteiktajam termiņam iesniedz dienestā atbalsta iesniegumu (6. pielikums), pievienojot tam šādus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Šo noteikumu 10. pielikuma 13. punkta 2. apakšpunktu piemēro, sākot ar 2023.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punktā izteiktais noteikumu 113. punkts paredz, ka noteikumu 10. pielikuma 13. punkta 2. apakšpunktu piemēro, sākot ar 2023. gada 1. janvāri. Lūdzam ietvert anotācijā izvērstu pamatojumu minētajai normai kontekstā ar Lauksaimniecības un lauku attīstības likuma pārejas noteikumu 27. punktu, kas paredz, ka Ministru kabineta 2017. gada 10. oktobra noteikumi Nr. 621 "Noteikumi par augļu un dārzeņu ražotāju organizācijām" piemērojami līdz likuma 9. panta jaunajā redakcijā minēto Ministru kabineta noteikumu spēkā stāšanās dienai, bet ne ilgāk kā līdz 2022. gada 31. decembrim,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anotācijā ietverto informāciju: "Likuma "Grozījumi Lauksaimniecības un lauku attīstības likumā" 27. punkts paredz, ka jaunie nosacījumi ir jāizstrādā un jāpieņem līdz 2022. gada 31. decembrim." Vēršam uzmanību, ka šādu prasību paredz Lauksaimniecības un lauku attīstības likuma pārejas noteikumu 27. punkts (2022. gada 5. maija grozījumu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 var izvēlēties savas darbības programmas īstenot saskaņā ar regulu 2021/2115. Tādējādi 2022. gada rudenī Zemkopības ministrija plāno izstrādāt un pieņemt normatīvos aktus par ražotāju organizāciju atzīšanas un atbalsta piešķiršanas kārtību. Lauksaimniecības un lauku attīstības likuma pārejas noteikumu 27. punkts (2022. gada 5. maija grozījumu redakcijā) paredz, ka jaunie nosacījumi ir jāizstrādā un jāpieņem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tiesību akti paredz iespēju RO izvēlēties savas darbības programmas turpināt īstenot vai iesniegt jaunas darbības programmas saskaņā ar patlaban spēkā esošajiem nosacījumiem. Tādējādi Zemkopības ministrija, izstrādājot un pieņemot normatīvos aktus par RO atzīšanas un atbalsta piešķiršanas kārtību, paredzēs pārejas noteikumus, ka RO, kuras turpinās īstenot savas darbības programmas vai būs iesniegušas apstiprināšanai jaunas darbības programmas līdz 2022. gada 15. februārim uz laika periodu līdz 3 gadiem, turpina darboties saskaņā ar Ministru kabineta 2017. gada 10. oktobra noteikumos Nr. 621 "Noteikumi par augļu un dārzeņu ražotāju organizācijām" līdz to darbības programmu noslēgumam.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Šo noteikumu 10. pielikuma 13. punkta 2. apakšpunktu piemēro par periodu, sākot ar 2023. gada 1. janvāri.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5.4. sadaļas 1. tabulā norādīt projekta vienību, kurā ieviestas Eiropas Savienības regulu prasības, iekavās norādot jaunā redakcijā izteikto noteikumu vienību, piemēram, šādi: "Noteikumu projekta 3. punkts (jaunā redakcijā izteiktais noteikumu 13.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5.4. sadaļas 1.tabulā, norādot projekta vienību, kurā ieviestas Eiropas Savienības regulu prasības, iekavās norādot jaunā redakcijā izteikto noteikumu vienību.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ne tikai pieminēt izdarītos precizējumus noteikumos saistībā ar iepirkuma procedūrām, bet arī tos pamatot saskaņā ar Ministru kabineta 2021. gada 7. septembra noteikumu Nr. 617 "Tiesību akta projekta sākotnējās ietekmes izvērtēšanas kārtība" 9.1. apakšpunktu. Līdzīgi aicinām skaidrot arī izmaiņas, kas paredzētas noteikumu projekta 25., 28., 29. un 35. punktā, pamatojot to nepieciešamību. Aicinām arī sniegt izvērstāku skaidrojumu par jaunā redakcijā izteiktā noteikumu 10. pielikuma 14. un 15. punktu, kā arī 13. punkta 2. apakšpunktu un izvēlētajām finanšu korekcijām neatbilstības vai pārkāpuma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 skaidrojot izmaiņas, kas paredzētas noteikumu projekta 25., 28., 29. un 35. punktā, kā arī sniegts izvērstāks skaidrojums par jaunā redakcijā izteiktā noteikumu 10. pielikuma 14. un 15. punktu, kā arī 13. punkta 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12. punktā izteikto noteikumu 29.2. apakšpunktu, aicinām precizēt anotācijas 6. sadaļā norādīto informāciju ("atstāts negrozīts nosacījums par darbības programmu grozījumu biežumu").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 norādot, ka priekšlikums nosacījumam par darbības programmu grozījumu biežumu vienu reizi gadā aizstāts uz divām reizēm gadā (grozījumi darbības programmās galvenokārt tiek iesniegti divas reizes gadā – pavasarī un rudenī).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Tieslietu ministrijas priekšlikuma uz atkārtoto saskaņošanu precizēta noteikumu projekta anotācijas 6. sadaļa. Vēršam uzmanību, ka precizējums nav korekts, ņemot vērā, ka nosacījums par darbības programmas grozījumu biežumu aizstāts nevis no vienas reizes gadā uz divām reizēm gadā, bet no trim reizēm gadā uz vienu reizi gadā (sk. spēkā esošo noteikumu 29.2.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anotācijā precizēts. 2022. gada 13. jūlijā noteikumu projekts tika apspriests arī Zemkopības ministrijas organizētajā sanāksmē. Sanāksmes laikā tika saņemti sanāksmes dalībnieku komentāri, un, tos ievērojot, projekta regulējumā ir ietverta virkne izvirzīto priekšlikumu (paplašināts atbalstāmo pasākumu klāsts, priekšlikums nosacījumam par darbības programmu grozījumu biežums, kas sākotnējā priekšlikumā paredzēja trīs reizes gadā aizstāt uz vienu reizi gadā, noteikts divas reizes gadā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attiecībā uz noteikumu 112. punkta redakciju iekļauts skaidrojumu, ka: "[..] noteikumu 112. punktā iekļautā atsauce uz 25.1 2. apakšpunktu, nevis uz 25.</w:t>
            </w:r>
            <w:r w:rsidR="00000000" w:rsidRPr="00000000" w:rsidDel="00000000">
              <w:rPr>
                <w:vertAlign w:val="superscript"/>
                <w:rtl w:val="0"/>
              </w:rPr>
              <w:t xml:space="preserve">1</w:t>
            </w:r>
            <w:r w:rsidR="00000000" w:rsidRPr="00000000" w:rsidDel="00000000">
              <w:rPr>
                <w:rtl w:val="0"/>
              </w:rPr>
              <w:t xml:space="preserve"> punktu, ir atbilstoša. Ņemot vērā, ka RO veic grozījumus darbības programmās (saskaņā ar noteikumu projektu 2 reizes gadā – līdzšinējā prakse rāda, ka grozījumi darbības programmās parasti ir gada sākumā vai gada nogalē), tad nepieciešams, lai šāds nosacījums stātos spēkā jau ar noteikumu stāšanās spēkā brīdi." Ņemot vērā minēto, lūdzam anotācijā skaidrot, vai 25.</w:t>
            </w:r>
            <w:r w:rsidR="00000000" w:rsidRPr="00000000" w:rsidDel="00000000">
              <w:rPr>
                <w:vertAlign w:val="superscript"/>
                <w:rtl w:val="0"/>
              </w:rPr>
              <w:t xml:space="preserve">1</w:t>
            </w:r>
            <w:r w:rsidR="00000000" w:rsidRPr="00000000" w:rsidDel="00000000">
              <w:rPr>
                <w:rtl w:val="0"/>
              </w:rPr>
              <w:t xml:space="preserve"> punkta 1. apakšpunkta tūlītēja piemērošana ir samērīga un vai organizācijām nav nepieciešams ilgāks laiks, lai sagatavotos izmaiņām.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detalizētu skaidrojumu izziņas 5. punktā. Lai īstenot 25.</w:t>
            </w:r>
            <w:r w:rsidR="00000000" w:rsidRPr="00000000" w:rsidDel="00000000">
              <w:rPr>
                <w:vertAlign w:val="superscript"/>
                <w:rtl w:val="0"/>
              </w:rPr>
              <w:t xml:space="preserve">1</w:t>
            </w:r>
            <w:r w:rsidR="00000000" w:rsidRPr="00000000" w:rsidDel="00000000">
              <w:rPr>
                <w:rtl w:val="0"/>
              </w:rPr>
              <w:t xml:space="preserve">1. apakšpunktā noteiktās prasības, ražotāju organizācijām nav nepeiciešams papildus laiks, lai sagatavotos šādām izmaiņām. Ņemot vērā, ka RO veic grozījumus darbības programmās (saskaņā ar noteikumu projektu 2 reizes gadā – līdzšinējā prakse rāda, ka grozījumi darbības programmās parasti ir gada sākumā vai gada nogalē), tad nepieciešams, lai noteikumu 25.</w:t>
            </w:r>
            <w:r w:rsidR="00000000" w:rsidRPr="00000000" w:rsidDel="00000000">
              <w:rPr>
                <w:vertAlign w:val="superscript"/>
                <w:rtl w:val="0"/>
              </w:rPr>
              <w:t xml:space="preserve">1</w:t>
            </w:r>
            <w:r w:rsidR="00000000" w:rsidRPr="00000000" w:rsidDel="00000000">
              <w:rPr>
                <w:rtl w:val="0"/>
              </w:rPr>
              <w:t xml:space="preserve">1. apakšpunkts un noteikumu 10. pielikuma 15.1. apakšpunkts šāds nosacījums stātos spēkā jau ar noteikumu stāšanās spēkā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izziņā sniegto skaidrojumu par 36.</w:t>
            </w:r>
            <w:r w:rsidR="00000000" w:rsidRPr="00000000" w:rsidDel="00000000">
              <w:rPr>
                <w:vertAlign w:val="superscript"/>
                <w:rtl w:val="0"/>
              </w:rPr>
              <w:t xml:space="preserve">1</w:t>
            </w:r>
            <w:r w:rsidR="00000000" w:rsidRPr="00000000" w:rsidDel="00000000">
              <w:rPr>
                <w:rtl w:val="0"/>
              </w:rPr>
              <w:t xml:space="preserve"> punkta interpretāciju un piemērošanu (proti, to, ka noteikumu 36.</w:t>
            </w:r>
            <w:r w:rsidR="00000000" w:rsidRPr="00000000" w:rsidDel="00000000">
              <w:rPr>
                <w:vertAlign w:val="superscript"/>
                <w:rtl w:val="0"/>
              </w:rPr>
              <w:t xml:space="preserve">1</w:t>
            </w:r>
            <w:r w:rsidR="00000000" w:rsidRPr="00000000" w:rsidDel="00000000">
              <w:rPr>
                <w:rtl w:val="0"/>
              </w:rPr>
              <w:t xml:space="preserve"> punktā minētā būvniecība ietver arī teritorijas labiekārtošanu, ja tā saistīta ar betonētu vai asfaltētu, bruģētu laukumu bez komunikācijām ierīkošanu u.tml., izņemot zāliena ierīkošanu) ietvert arī anotācijā. Līdzīgi lūdzam ietvert anotācijā arī skaidrojumu par 25.</w:t>
            </w:r>
            <w:r w:rsidR="00000000" w:rsidRPr="00000000" w:rsidDel="00000000">
              <w:rPr>
                <w:vertAlign w:val="superscript"/>
                <w:rtl w:val="0"/>
              </w:rPr>
              <w:t xml:space="preserve">1 </w:t>
            </w:r>
            <w:r w:rsidR="00000000" w:rsidRPr="00000000" w:rsidDel="00000000">
              <w:rPr>
                <w:rtl w:val="0"/>
              </w:rPr>
              <w:t xml:space="preserve">1. apakšpunktā noteikto prasību spēkā stāšanās un piemērošanas laika nepieciešamību un sniegto informāciju, ka ražotāju organizācijām nav nepeiciešams papildus laiks, lai sagatavotos šādām izmaiņām.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 paredzot, ka 25.</w:t>
            </w:r>
            <w:r w:rsidR="00000000" w:rsidRPr="00000000" w:rsidDel="00000000">
              <w:rPr>
                <w:vertAlign w:val="superscript"/>
                <w:rtl w:val="0"/>
              </w:rPr>
              <w:t xml:space="preserve">1</w:t>
            </w:r>
            <w:r w:rsidR="00000000" w:rsidRPr="00000000" w:rsidDel="00000000">
              <w:rPr>
                <w:rtl w:val="0"/>
              </w:rPr>
              <w:t xml:space="preserve"> 1. apakšpunkts un noteikumu 10. pielikuma 15. punkta 1. apakšpunktu var piemērot ar noteikumu stāšanās brīdi, jo RO nav nepieciešams papildus laiks, lai sagatavotos šādām pārmaiņām  un iesniegtu visu nepieciešamo informāciju, sagatavojot jaunās darbības programmas vai grozījumus esošajās darbības programmās. Savukārt noteikumu 36.</w:t>
            </w:r>
            <w:r w:rsidR="00000000" w:rsidRPr="00000000" w:rsidDel="00000000">
              <w:rPr>
                <w:vertAlign w:val="superscript"/>
                <w:rtl w:val="0"/>
              </w:rPr>
              <w:t xml:space="preserve">1</w:t>
            </w:r>
            <w:r w:rsidR="00000000" w:rsidRPr="00000000" w:rsidDel="00000000">
              <w:rPr>
                <w:rtl w:val="0"/>
              </w:rPr>
              <w:t xml:space="preserve"> punktā minētā būvniecība ietver arī teritorijas labiekārtošanu, ja tā saistīta ar betonētu vai asfaltētu, bruģētu laukumu bez komunikācijām ierīkošanu u.tml., izņemot zāliena ierīkošanu.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tabulā ietverto informāciju attiecībā uz regulas Nr. 2017/892 25. panta 1. punkta apakšvienībām, kas ieviestas noteikumu projekta 9. punktā (proti, ne tikai "d"  apakšpunkts, bet arī "c" apakšpunkts). Kā arī, ņemot vērā noteikumu projekta 10. un 11. punktā (noteikumu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 </w:t>
            </w:r>
            <w:r w:rsidR="00000000" w:rsidRPr="00000000" w:rsidDel="00000000">
              <w:rPr>
                <w:rtl w:val="0"/>
              </w:rPr>
              <w:t xml:space="preserve">punktā) ietvertās atsauces uz regulas Nr. 1308/2013 33. panta 1. punktu un 152. panta 1. punkta "c" apakšpunktu, lūdzam tabulā pie informācijas par minēto regulas vienību ieviešanu ietvert arī norādi par to ieviešanu noteikumu projekta 10. un 11.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54. sadaļas 1. tabula. Attiecībā uz regulas Nr. 2017/892 25. panta 1. punkta apakšvienībām, kas ieviestas noteikumu projekta 9. punktā, norādīts ne tikai "d"  apakšpunkts, bet arī "c" apakšpunkts, kā arī papildinātas atsauces uz regulas Nr. 1308/2013 33. panta 1. punktu un 152. panta 1. punkta "c" apakšpunktu, iekļaujot norādi uz noteikumu 10. un 11.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Eiropas Parlamenta un Padomes 2021. gada 2. decembra Regula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 (turpmāk – regula 2021/2117);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1.7. un 1.8. apakšpunktā (noteikumu projekta 1. un 2. punkts) izteikt minēto regulu nosaukumus pareizā locījumā atbilstoši 1. punkta ievaddaļai.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1.7. un 1.8.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Eiropas Parlamenta un Padomes 2021. gada 2. decembra Regulai (ES) 2021/2117, ar kuru groza Regulas (ES) Nr. 1308/2013, ar ko izveido lauksaimniecības produktu tirgu kopīgu organizāciju, (ES) Nr. 1151/2012 par lauksaimniecības produktu un pārtikas produktu kvalitātes shēmām, (ES) Nr. 251/2014 par aromatizētu vīna produktu definīciju, aprakstu, noformējumu, marķējumu un ģeogrāfiskās izcelsmes norāžu aizsardzību un (ES) Nr. 228/2013, ar ko ievieš īpašus pasākumus lauksaimniecības jomā attālākajiem Eiropas Savienības reģioniem (turpmāk – regula 2021/2117);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3</w:t>
            </w:r>
            <w:r w:rsidR="00000000" w:rsidRPr="00000000" w:rsidDel="00000000">
              <w:rPr>
                <w:rtl w:val="0"/>
              </w:rPr>
              <w:t xml:space="preserve"> Atkāpjoties no 25.</w:t>
            </w:r>
            <w:r w:rsidR="00000000" w:rsidRPr="00000000" w:rsidDel="00000000">
              <w:rPr>
                <w:vertAlign w:val="superscript"/>
                <w:rtl w:val="0"/>
              </w:rPr>
              <w:t xml:space="preserve">2</w:t>
            </w:r>
            <w:r w:rsidR="00000000" w:rsidRPr="00000000" w:rsidDel="00000000">
              <w:rPr>
                <w:rtl w:val="0"/>
              </w:rPr>
              <w:t xml:space="preserve"> punkta prasības, ražotāju organizācijai ir tiesības noteikt citus kritērijus un sasniedzamos izpildes rādītājus, papildus sniedzot skaidrojumu par šo rādītāju ietekmi uz ražotāju organizācijas izvēlēto mērķu sasniegšanu saskaņā ar regulas Nr. 1308/2013 33. panta 1. punktu un 152. panta 1. punkta "c" apakšpunktu. Šiem kritērijiem un izpildes rādītājiem jābūt izmērāmiem un pārbaudāmiem.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vienveidīgu terminoloģiju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 </w:t>
            </w:r>
            <w:r w:rsidR="00000000" w:rsidRPr="00000000" w:rsidDel="00000000">
              <w:rPr>
                <w:rtl w:val="0"/>
              </w:rPr>
              <w:t xml:space="preserve">punktā attiecībā uz rezultatīvajiem rādītājiem (izpildes rādītājiem), lietojot vienu terminu (rezultatīvais rādītājs) (sk. arī 2. pielikuma C.10.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25.</w:t>
            </w:r>
            <w:r w:rsidR="00000000" w:rsidRPr="00000000" w:rsidDel="00000000">
              <w:rPr>
                <w:vertAlign w:val="superscript"/>
                <w:rtl w:val="0"/>
              </w:rPr>
              <w:t xml:space="preserve">3 </w:t>
            </w:r>
            <w:r w:rsidR="00000000" w:rsidRPr="00000000" w:rsidDel="00000000">
              <w:rPr>
                <w:rtl w:val="0"/>
              </w:rPr>
              <w:t xml:space="preserve">punkts, kā arī 2. pielikuma C.10. sadaļa, lai tiktu izmantota vienveidīga terminoloģija.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3</w:t>
            </w:r>
            <w:r w:rsidR="00000000" w:rsidRPr="00000000" w:rsidDel="00000000">
              <w:rPr>
                <w:rtl w:val="0"/>
              </w:rPr>
              <w:t xml:space="preserve"> Atkāpjoties no 25.</w:t>
            </w:r>
            <w:r w:rsidR="00000000" w:rsidRPr="00000000" w:rsidDel="00000000">
              <w:rPr>
                <w:vertAlign w:val="superscript"/>
                <w:rtl w:val="0"/>
              </w:rPr>
              <w:t xml:space="preserve">2</w:t>
            </w:r>
            <w:r w:rsidR="00000000" w:rsidRPr="00000000" w:rsidDel="00000000">
              <w:rPr>
                <w:rtl w:val="0"/>
              </w:rPr>
              <w:t xml:space="preserve"> punkta prasības, ražotāju organizācijai ir tiesības noteikt citus kritērijus un sasniedzamos mērķrādītājus, papildus sniedzot skaidrojumu par šo rādītāju ietekmi uz ražotāju organizācijas izvēlēto mērķu sasniegšanu saskaņā ar regulas Nr. 1308/2013 33. panta 1. punktu un 152. panta 1. punkta "c" apakšpunktu. Šiem kritērijiem un mērķrādītājiem jābūt izmērāmiem un pārbaudāmiem.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35.1.12. teritorijas labiekārtošanai;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noteikumu projekta 15. punktā izteikto noteikumu 35.1.12. apakšpunktu, precizējot, kādas teritorijas (piemēram, ražošanas vajadzībām paredzētas) labiekārtošanai piešķir atbalstu (salīdzinājumam sk. 35.1.11. apakšpunkta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35.1.12. apakšpunkts svītrots, bet lai padarītu skaidrāku tiesību normu, kuros gadījumos kā attiecināmais atbalsta pasākums ir teritorijas labiekārtošana kā to paredz noteikumu 5. pielikuma 12. punkts, projekts paredz papildināt noteikumu 35.1.3., 35.1.11., 35.2.2., 35.2.13. un 35.3.13.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būvniecības, pārbūves, atjaunošanas vai ierīkošanas ir nepieciešams arī labiekārtot apkārtējo teritoriju – tā var būt ne tikai laukuma iekārtošana, bet arī zāliena iekārtošana. Noteikumu 5. pielikuma 12. punkts paredz maksimālās attiecināmās izmaksas attiecībā uz labiekārtošanu, bet ir nepieciešams teritorijas labiekārtošanu sasaistīt ar attiecīgu būvi, pārbūvi vai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Šo noteikumu 35.1.3., 35.1.11., 35.1.12., 35.2.2., 35.2.7., 35.2.13. un 35.3.13. apakšpunktā minēto būvniecību, nepārsniedzot šo noteikumu 5. pielikumā norādītās izmaksas, īsteno, pamatojoties uz līgumiem ar trešajām personām, kas atbildīgas par darbu izpildi, atbilstoši regulas Nr. 2017/891 31. panta 2. punkta otrajai un trešajai daļai un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19. punktā iekļauto atsauci uz 35.1.11. apakšpunktā minēto būvniecību, aicinām anotācijā izvērstāk skaidrot 35.1.11. apakšpunkta saturu (pirmšķietami teritorijas labiekārtošana var būt ne tikai būvniecība). Nepieciešamības gadījumā lūdzam precizēt 35.1.11.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 Lai padarītu skaidrāku tiesību normu, kuros gadījumos kā attiecināmais atbalsta pasākums ir teritorijas labiekārtošana kā to paredz noteikumu 5. pielikuma 12. punkts, projekts paredz papildināt noteikumu 35.1.3., 35.1.11., 35.2.2., 35.2.13. un 35.3.13.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būvniecības, pārbūves, atjaunošanas vai ierīkošanas ir nepieciešams arī labiekārtot apkārtējo teritoriju – tā var būt ne tikai laukuma iekārtošana, bet arī zāliena iekārtošana. Noteikumu 5. pielikuma 12. punkts paredz maksimālās attiecināmās izmaksas attiecībā uz labiekārtošanu, bet ir nepieciešams teritorijas labiekārtošanu sasaistīt ar attiecīgu būvi, pārbūvi vai atjaunošanu.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Šo noteikumu 35.1.3., 35.1.11., 35.2.2., 35.2.7., 35.2.13. un 35.3.13. apakšpunktā minēto būvniecību, nepārsniedzot šo noteikumu 5. pielikumā norādītās izmaksas, īsteno, pamatojoties uz līgumiem ar trešajām personām, kas atbildīgas par darbu izpildi, atbilstoši regulas Nr. 2017/891 31. panta 2. punkta otrajai un trešajai daļai un šādiem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Ja šo noteikumu 35.1.3., 35.1.11., 35.1.12., 35.2.2., 35.2.7., 35.2.13. un 35.3.13. apakšpunktā minētās būvniecības maksimālās attiecināmās izmaksas nav norādītas šo noteikumu 5. pielikumā, to īsteno atbilstoši faktiskajām izmaksām, ievērojot šajos noteikumos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20. punktā izteikto noteikumu 36.</w:t>
            </w:r>
            <w:r w:rsidR="00000000" w:rsidRPr="00000000" w:rsidDel="00000000">
              <w:rPr>
                <w:vertAlign w:val="superscript"/>
                <w:rtl w:val="0"/>
              </w:rPr>
              <w:t xml:space="preserve">2</w:t>
            </w:r>
            <w:r w:rsidR="00000000" w:rsidRPr="00000000" w:rsidDel="00000000">
              <w:rPr>
                <w:rtl w:val="0"/>
              </w:rPr>
              <w:t xml:space="preserve"> punktu būtībā tiek ieviesta regulas Nr. 2017/891 31. panta 2. punkta pirmā daļa, aicinām ietvert attiecīgu informāciju anotācijas 5.4. sadaļas 1. tabulā.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sadaļas 1.tabula ar atsauci uz regulas 2017/891 31. panta 2. punkta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Ja šo noteikumu 35.1.3., 35.1.11., 35.2.2., 35.2.7., 35.2.13. un 35.3.13. apakšpunktā minētās būvniecības maksimālās attiecināmās izmaksas nav norādītas šo noteikumu 5. pielikumā, to īsteno atbilstoši faktiskajām izmaksām, ievērojot šajos noteikumos noteiktās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Šo noteikumu 25.</w:t>
            </w:r>
            <w:r w:rsidR="00000000" w:rsidRPr="00000000" w:rsidDel="00000000">
              <w:rPr>
                <w:vertAlign w:val="superscript"/>
                <w:rtl w:val="0"/>
              </w:rPr>
              <w:t xml:space="preserve">1</w:t>
            </w:r>
            <w:r w:rsidR="00000000" w:rsidRPr="00000000" w:rsidDel="00000000">
              <w:rPr>
                <w:rtl w:val="0"/>
              </w:rPr>
              <w:t xml:space="preserve">2. apakšpunktu,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punktu piemēro darbības programmām, kas iesniegtas apstiprināšanai saskaņā ar šo noteikumu 111.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32. punktā izteiktajā noteikumu 112. punktā iekļautā atsauce uz 25.</w:t>
            </w:r>
            <w:r w:rsidR="00000000" w:rsidRPr="00000000" w:rsidDel="00000000">
              <w:rPr>
                <w:vertAlign w:val="superscript"/>
                <w:rtl w:val="0"/>
              </w:rPr>
              <w:t xml:space="preserve">1</w:t>
            </w:r>
            <w:r w:rsidR="00000000" w:rsidRPr="00000000" w:rsidDel="00000000">
              <w:rPr>
                <w:rtl w:val="0"/>
              </w:rPr>
              <w:t xml:space="preserve"> 2. apakšpunktu, nevis uz 25.</w:t>
            </w:r>
            <w:r w:rsidR="00000000" w:rsidRPr="00000000" w:rsidDel="00000000">
              <w:rPr>
                <w:vertAlign w:val="superscript"/>
                <w:rtl w:val="0"/>
              </w:rPr>
              <w:t xml:space="preserve">1</w:t>
            </w:r>
            <w:r w:rsidR="00000000" w:rsidRPr="00000000" w:rsidDel="00000000">
              <w:rPr>
                <w:rtl w:val="0"/>
              </w:rPr>
              <w:t xml:space="preserve"> punktu, ir atbilstoša. Nepieciešamības gadījumā aicinām precizēt projektu. Alternatīvi lūdzam sniegt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vai nav nepieciešamas atsauces uz vēl kādām noteikumu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punktā izteiktajā noteikumu 112. punktā iekļautā atsauce uz 25.</w:t>
            </w:r>
            <w:r w:rsidR="00000000" w:rsidRPr="00000000" w:rsidDel="00000000">
              <w:rPr>
                <w:vertAlign w:val="superscript"/>
                <w:rtl w:val="0"/>
              </w:rPr>
              <w:t xml:space="preserve">1</w:t>
            </w:r>
            <w:r w:rsidR="00000000" w:rsidRPr="00000000" w:rsidDel="00000000">
              <w:rPr>
                <w:rtl w:val="0"/>
              </w:rPr>
              <w:t xml:space="preserve"> 2. apakšpunktu, nevis uz 25.1 punktu, ir atbilstoša. Ņemot vērā, ka RO veic grozījumus darbības programmās (saskaņā ar noteikumu projektu 2 reizes gadā – līdzšinējā prakse rāda, ka grozījumi darbības programmās parasti ir gada sākumā vai gada nogalē), tad nepieciešams, lai šāds nosacījums stātos spēkā jau ar noteikumu stāšanās spēkā brīdi. Tādējādi attiecīgi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Šo noteikumu 25.</w:t>
            </w:r>
            <w:r w:rsidR="00000000" w:rsidRPr="00000000" w:rsidDel="00000000">
              <w:rPr>
                <w:vertAlign w:val="superscript"/>
                <w:rtl w:val="0"/>
              </w:rPr>
              <w:t xml:space="preserve">1</w:t>
            </w:r>
            <w:r w:rsidR="00000000" w:rsidRPr="00000000" w:rsidDel="00000000">
              <w:rPr>
                <w:rtl w:val="0"/>
              </w:rPr>
              <w:t xml:space="preserve">2. apakšpunktu,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punktu piemēro darbības programmām, kas iesniegtas apstiprināšanai saskaņā ar šo noteikumu 111.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10. pielikuma 13. punkta 1. apakšpunktā minēto finanšu korekcijas apmēru izkārtot augošā secībā, sākot ar "5 % no attiecināmajām izmaksām, ja konstatētais pārsniegums veido ne vairāk nekā 5 % novirzi" (salīdzinājumam sk. 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 pielikuma 13.1.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22-TA-2224</w:t>
    </w:r>
    <w:r>
      <w:br/>
    </w:r>
    <w:r w:rsidR="00000000" w:rsidRPr="00000000" w:rsidDel="00000000">
      <w:rPr>
        <w:rtl w:val="0"/>
      </w:rPr>
      <w:t xml:space="preserve">05.08.2022. 11.31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22-TA-2224</w:t>
    </w:r>
    <w:r>
      <w:br/>
    </w:r>
    <w:r w:rsidR="00000000" w:rsidRPr="00000000" w:rsidDel="00000000">
      <w:rPr>
        <w:rtl w:val="0"/>
      </w:rPr>
      <w:t xml:space="preserve">05.08.2022. 11.31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Izziņa_22-TA-2224.docx</dc:title>
</cp:coreProperties>
</file>

<file path=docProps/custom.xml><?xml version="1.0" encoding="utf-8"?>
<Properties xmlns="http://schemas.openxmlformats.org/officeDocument/2006/custom-properties" xmlns:vt="http://schemas.openxmlformats.org/officeDocument/2006/docPropsVTypes"/>
</file>