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22-TA-3709: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nosaukumu atbilstoši Ministru kabineta 2009. gada 3. februāra noteikumu Nr. 108 "Normatīvo aktu projektu sagatavošanas noteikumi" 90. un 91.punkta prasībām, tai skaitā ievērojot to, ka nosaukumu ar vārdiem "Noteikumi par" iesāk tikai retos izņēmuma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noteikumu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projekta (turpmāk – noteikumu projekts)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ņem vērā noteikumu projekta steidzamības pamatojumā norādītos 2021.gada 7.septembra Ministru kabineta sēdes  protokollēmuma Nr.60 32.&amp; 5.punktu, proti, "</w:t>
            </w:r>
            <w:r w:rsidR="00000000" w:rsidRPr="00000000" w:rsidDel="00000000">
              <w:rPr>
                <w:i w:val="1"/>
                <w:rtl w:val="0"/>
              </w:rPr>
              <w:t xml:space="preserve">Lai nodrošinātu Atveseļošanas fonda plānā noteikto termiņu ievērošanu un to ietvaros ar Eiropas Komisiju nepieciešamo dokumentu projektu saskaņošanu, </w:t>
            </w:r>
            <w:r w:rsidR="00000000" w:rsidRPr="00000000" w:rsidDel="00000000">
              <w:rPr>
                <w:i w:val="1"/>
                <w:u w:val="single"/>
                <w:rtl w:val="0"/>
              </w:rPr>
              <w:t xml:space="preserve">pieņemt zināšanai</w:t>
            </w:r>
            <w:r w:rsidR="00000000" w:rsidRPr="00000000" w:rsidDel="00000000">
              <w:rPr>
                <w:i w:val="1"/>
                <w:rtl w:val="0"/>
              </w:rPr>
              <w:t xml:space="preserve">, ka visi ar Atveseļošanas fonda plāna īstenošanu saistītie normatīvo aktu projekti, kā arī informatīvie ziņojumi izskatīšanai Ministru kabinetā tiek virzīti steidzamības kārtībā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Tieslietu ministrijas ieskatā minētais protokollēmums neatbrīvo ministrijas no pienākuma vērtēt attiecīgo normatīvo aktu steidzamības pamatojumu </w:t>
            </w:r>
            <w:r w:rsidR="00000000" w:rsidRPr="00000000" w:rsidDel="00000000">
              <w:rPr>
                <w:u w:val="single"/>
                <w:rtl w:val="0"/>
              </w:rPr>
              <w:t xml:space="preserve">pēc būtības</w:t>
            </w:r>
            <w:r w:rsidR="00000000" w:rsidRPr="00000000" w:rsidDel="00000000">
              <w:rPr>
                <w:rtl w:val="0"/>
              </w:rPr>
              <w:t xml:space="preserve">, proti, ņemot vērā Ministru kabineta 2021. gada 7. septembra noteikumu Nr. 606 "Ministru kabineta kārtības rullis" 55.2. apakšpunktā noteikto, ka </w:t>
            </w:r>
            <w:r w:rsidR="00000000" w:rsidRPr="00000000" w:rsidDel="00000000">
              <w:rPr>
                <w:i w:val="1"/>
                <w:rtl w:val="0"/>
              </w:rPr>
              <w:t xml:space="preserve">steidzamības kārtību projektu saskaņošanā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ņemot vērā, ka noteikumu projekts paredz jaunu Atveseļošanas un noturības mehānisma atbalsta shēmu un piedāvātais regulējums skar tostarp privātpersonu tiesības un pienākumus, informējam, ka šobrīd Tieslietu ministrija sniedz atzinumu iespēju robežās un patur tiesības izteikt papildus iebildumus noteikumu projekta atkārtotas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atzinumu par LM izstrādāto MK noteikumu projektu (22-TA-3709) “Noteikumi par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īstenošanu" nav iespējams sniegt norādītajā laikā (3 darba dienas). Vēršam uzmanību, ka atzinums ir lūgts nesamērīgi īsā termiņā un nav iespējams pilnvērtīgi izvērtēt saņemtos dokumentus un sniegt viedokli norādītajā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 atzinumu sniegs līdz 2023. gada 26.aprīlim.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iespējams 3 darba dienu laikā apzināt pašvaldību viedokli un sagatavot kvalitatīvu atzinumu par noteikumu projektu “Noteikumi par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īstenošanu", Latvijas Pašvaldību savienība atzinumu sniegs līdz 2023. gada 26.aprīlim.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atzinumu par LM izstrādāto MK noteikumu projektu (22-TA-3709) “Noteikumi par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īstenošanu" nav iespējams sniegt norādītajā laikā (3 darba dienas). Vēršam uzmanību, ka atzinums ir lūgts nesamērīgi īsā termiņā un nav iespējams pilnvērtīgi izvērtēt saņemtos dokumentus un sniegt viedokli norādītajā laikā, ņemot vērā investīcijas specifiku attiecībā uz finansējuma saņēmēju loku un programmas ieviešanas shēmu.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atzinumu sniegs līdz 2023. gada 26.aprīlim.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Mājoklis šo noteikumu izpratnē ir šo noteikumu 4. punktā minētās mērķa grupas personas vai pirmās vai otrās pakāpes radinieka īpašumā vai lietošanā esoša māja vai tās daļa, dzīvokļa īpašums vai tā daļa, kurā mērķa grupas persona ir deklarējusi savu dzīvesvietu.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ņemot vērā noteikumu projekta anotācijā norādīto, ka mērķa grupas personas vai tās ģimenes locekļu (pirmās vai otrās pakāpes radinieka) </w:t>
            </w:r>
            <w:r w:rsidR="00000000" w:rsidRPr="00000000" w:rsidDel="00000000">
              <w:rPr>
                <w:u w:val="single"/>
                <w:rtl w:val="0"/>
              </w:rPr>
              <w:t xml:space="preserve">īpašumā vai lietošanā esošs nekustamais īpašums (māja vai tās daļa, dzīvokļa īpašums vai tā daļa)</w:t>
            </w:r>
            <w:r w:rsidR="00000000" w:rsidRPr="00000000" w:rsidDel="00000000">
              <w:rPr>
                <w:rtl w:val="0"/>
              </w:rPr>
              <w:t xml:space="preserve">, kurā persona ir deklarējusi savu dzīvesvietu. No noteikumu projekta 3.punkta redakcijas šobrīd nepērprotami neizriet, vai "dzīvokļa īpašums vai tā daļa" nozīmē, ka šādam dzīvoklim vai tā daļai jābūt personas vai tās pirmās vai otrās pakāpes radinieka īpašumā, vai arī šāds dzīvoklis vai tā daļa var būt arī šo personu lietošanā, piemēram, uz īres līguma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Mājoklis šo noteikumu izpratnē ir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mērķa grupas personas vai pirmās vai otrās pakāpes radinieka īpašumā vai lietošanā (īrēts) esošs nekustamais īpašums (dzīvojamā māja vai tās daļa, dzīvokļa īpašums vai tā daļa), kurā mērķa grupas persona ir deklarējusi savu dzīvesvietu.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atskaites 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iepazīties ar LLPA pārstāvēto pašvaldību iebildumiem un labot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7.1.1. apakšpunktā mērķrādītāja sasniegšanas termiņa objektivitāti un pagarināt to, ņemot vērā, ka 2022. gada vasarā Labklājības ministrija organizēja aptauju starp pašvaldībām par pielāgojamo mājokļu skaita samazinājumu, lai varētu palielināt piešķiramā finansējuma apmēru viena mājokļa pielāgošanai. Šīs aptaujas laikā Rīgas valstspilsētas pašvaldība piekrita Labklājības ministrijas piedāvājumam samazināt pielāgojamo mājokļu skaitu un līdz šim brīdim nav saņēmusi atgriezenisko saiti par tālāko Labklājības ministrijas rīcību, lai Rīgas valstspilsētas pašvaldība varētu reāli uzsākt darbu pie mājokļu apzināšanas, jo nebija skaidri nosacījumi par pielāgojamo mājokļu skaitu pašvaldībai (kvota), ne arī finansējuma apmērs viena mājokļa pielāgošanai. Ņemot vērā minēto, lūdzam pagarināt 7.1.1. apakšpunktā noteikto mērķrādītāja sasniegšanas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7.1.2. apakšpunktā mērķrādītāja sasniegšanas termiņa objektivitāti un pagarināt to, ņemot vērā to, ka nav apzināti un izvērtēti pretendenti mājokļa vides pieejamības uzlabošanai, tāpēc līgumu noslēgšana par būvdarbiem minēto darbu veikšanai 78 personām Rīgas valstspilsētas pašvaldībā ir maz ticama. Vēršam jūsu uzmanību, ka Rīgas valstspilsētas pašvaldība līdz 2023.gada septembrim varētu atlasīt 78 pretendentus uz mājokļu vides pieejamības pielāgošanu.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iepriekš minēto darbu veikšanas un situācijas apzināšanās, kā arī pēc Ministru kabineta noteikumu potenciālā spēkā stāšanās  datuma 2023.gada maijā  un līguma par projekta īstenošanu noslēgšanas ar CFLA (atbilstoši MK noteikumu projekta V nodaļai 115 dienu laikā pēc MK noteikumu projekta spēkā stāšanās), Rīgas valstpilsētas pašvaldība izsludinātu iepirkuma procedūru (atklāts konkurss) par mājokļu vides pieejamības darbu veikšanu pretendentiem, kas ilgst vismaz divus mēnešus. Ņemot vērā minēto nav iespējams Ministru kabineta noteikumu 7.1.2. apakšpunktā mērķrādītāja sasniegšanas nodrošināt termiņā līdz 2023. gada 30.septembrim.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apakšpunktā norādītais termiņš ir ar atpakaļejošu datumu un nav izpildāms, kā arī ir pretrunā ar šo noteikumu 24.2. apakšpunktu. 7.1.2. apakšpunktā norādītais termiņš nav izpildāms, ņemot vērā, ka nav izpildīts 7.1.1. apakšpunktā noradītais atskaites punkts, kā arī nav iespējams dotajā termiņā sagatavot nepieciešamo vides pielāgojumu būvprojektus, veikt iepirkumu procedūras un būvdarbu līgumu 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apakšpunktā norādītais termiņš nav izpildāms, jo nav korekti norādīti izpildāmie termiņi 7.1.apakšpunkta atskaites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projektā iekļaut korektus atskaites punktu izpildes termiņus.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saņemts pozitīvs Eiropas Komisijas viedoklis par Labklājības ministrijas (turpmāk – LM) virzītajiem Atveseļošanās un noturības mehānisma (turpmāk – AF) plāna grozījumu priekšlikumiem (t.sk. 3.1.2.1.i. investīcijas otrās kārtas pasākuma atskaites punktu un mērķrādītāja termiņu pagarinājumu), noteikumu projektā tiek precizēti nosacījumi attiecībā uz sasniedzamo atskaites punktu un mērķrādītāja īstenošanas termiņiem, kā arī precizēta un papildināta noteikumu projekta anotācija un protokollēmums.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atskaites punkti: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atskaites 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apakšpunktā norādītais termiņš ir ar atpakaļejošu datumu un nav izpildāms, kā arī ir pretrunā ar šo noteikumu 24.2. apakšpunktu. 7.1.2. apakšpunktā norādītais termiņš nav izpildāms, ņemot vērā, ka nav izpildīts 7.1.1. apakšpunktā noradītais atskaites punkts, kā arī nav iespējams dotajā termiņā sagatavot nepieciešamo vides pielāgojumu būvprojektus, veikt iepirkumu procedūras un būvdarbu līgumu 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apakšpunktā norādītais termiņš nav izpildāms, jo nav korekti norādīti izpildāmie termiņi 7.1.apakšpunkta atskaites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noteikumu projektā iekļaut korektus atskaites punktu izpildes termiņus.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L2022. gada vasarā Labklājības ministrija organizēja aptauju starp pašvaldībām par pielāgojamo mājokļu skaita samazinājumu, lai varētu palielināt piešķiramā finansējuma apmēru viena mājokļa pielāgošanai. Kā norāda Rīgas valstspilsētas pašvaldība, šīs aptaujas laikā Rīgas valstspilsētas pašvaldība piekrita Labklājības ministrijas piedāvājumam samazināt pielāgojamo mājokļu skaitu un līdz šim brīdim nav saņēmusi atgriezenisko saiti par tālāko Labklājības ministrijas rīcību, lai Rīgas valstspilsētas pašvaldība varētu reāli uzsākt darbu pie mājokļu apzināšanas, jo nebija skaidri nosacījumi par pielāgojamo mājokļu skaitu pašvaldībai (kvota), ne arī finansējuma apmērs viena mājokļa pielāgošanai.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7. punktu. Papildus aicinām pašvaldības līdz noteikumu projekta spēkā stāšanās veikt sagatavošanās darbus mērķa grupas atlasei, lai pēc noteikumu projekta spēkā stāšanās pēc iespējas ātrāk būtu iespējams uzsākt 3.1.2.1.i. investīcijas otrās kārtas projektu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atskaites punkti: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līdz 2022. gada 30. septembrim – konkrētas mērķa grupas izvēle mājokļa fiziskās pieejamības uzlabošanai;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- 17.06.2023.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mērķrādītāja “līdz 2022. gada 30. septembrim – konkrētas mērķa grupas izvēle mājokļa vides pieejamības uzlabošanai” sasniegšanas termiņu starp MK noteikumu 7.1.punktu un MK protokollēmuma 6.punktu, to nosakot 2024.gada 31.marts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papildināts ar noslēguma jautājumiem, kas nosaka šo noteikumu 7. punktā noteikto atskaites punktu un mērķrādītāja jaunos izpildes termiņus, pēc pozitīva Eiropas Komisijas lēmuma saņemšanas par Atveseļošanas fonda plāna grozījumu priekšlikumiem.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līdz 2022. gada 30. septembrim – konkrētas mērķa grupas izvēle mājokļa fiziskās pieejamības uzlabošanai;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līdz 2022. gada 30. septembrim – konkrētas mērķa grupas izvēle mājokļa fiziskās pieejamības uzlabošanai;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mērķrādītāja “līdz 2022. gada 30. septembrim – konkrētas mērķa grupas izvēle mājokļa vides pieejamības uzlabošanai” sasniegšanas termiņu starp MK noteikumu 7.1.punktu un MK protokollēmuma 6.punktu, to nosakot 2024.gada 31.marts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9.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līdz 2022. gada 30. septembrim – konkrētas mērķa grupas izvēle mājokļa fiziskās pieejamības uzlabošanai;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līdz 2022. gada 30. septembrim – konkrētas mērķa grupas izvēle mājokļa vides pieejamības uzlabošanai;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grupas izvēle pašvaldībā var būt uzsākta tikai pēc MKN ar to pielikumiem apstiprināšanas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7.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līdz 2022. gada 30. septembrim – konkrētas mērķa grupas izvēle mājokļa fiziskās pieejamības uzlabošanai;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līdz 2023. gada 30. septembrim – darba līgumu noslēgšana, lai personām ar invaliditāti pielāgotu mājokļus;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- 17.06.2023.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mērķrādītāja “līdz 2023. gada 30. septembrim – būvdarbu līgumu noslēgšana, lai personām ar invaliditāti pielāgotu mājokļus” sasniegšanas termiņu starp MK noteikumu 7.1.punktu un MK protokollēmuma 6.punktu, to nosakot 2025.gada 31.marts;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9.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līdz 2023. gada 30. septembrim – darba līgumu noslēgšana, lai personām ar invaliditāti pielāgotu mājokļus;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līdz 2023. gada 30. septembrim – darba līgumu noslēgšana, lai personām ar invaliditāti pielāgotu mājokļus;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mērķrādītāja “līdz 2023. gada 30. septembrim – būvdarbu līgumu noslēgšana, lai personām ar invaliditāti pielāgotu mājokļus” sasniegšanas termiņu starp MK noteikumu 7.1.punktu un MK protokollēmuma 6.punktu, to nosakot 2025.gada 31.marts;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9.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līdz 2023. gada 30. septembrim – darba līgumu noslēgšana, lai personām ar invaliditāti pielāgotu mājokļus;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līdz 2023. gada 30. septembrim – būvdarbu līgumu noslēgšana, lai personām ar invaliditāti pielāgotu mājokļus;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lūdz izvērtēt 7.1.2. apakšpunktā mērķrādītāja sasniegšanas termiņa objektivitāti un pagarināt to, ņemot vērā to, ka nav apzināti un izvērtēti pretendenti mājokļa vides pieejamības uzlabošanai, tāpēc līgumu noslēgšana par būvdarbiem minēto darbu veikšanai 78 personām Rīgas valstspilsētas pašvaldībā ir maz ticama. Vēršam jūsu uzmanību, ka Rīgas valstspilsētas pašvaldība līdz 2023.gada septembrim varētu atlasīt 78 pretendentus uz mājokļu vides pieejamības pielāgošanu.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iepriekš minēto darbu veikšanas un situācijas apzināšanās, kā arī pēc Ministru kabineta noteikumu potenciālā spēkā stāšanās  datuma 30.04.2023., un līguma par projekta īstenošanu noslēgšanas ar CFLA (atbilstoši MK noteikumu projekta V nodaļai 115 dienu laikā pēc MK noteikumu projekta spēkā stāšanās), Rīgas valstpilsētas pašvaldība izsludinātu iepirkuma procedūru (atklāts konkurss) par mājokļu vides pieejamības darbu veikšanu pretendentiem, kas ilgst vismaz divus mēnešus. Ņemot vērā minēto nav iespējams Ministru kabineta noteikumu 7.1.2. apakšpunktā mērķrādītāja sasniegšanas nodrošināt termiņā līdz 2023. gada 30.septembrim.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7.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līdz 2023. gada 30. septembrim – darba līgumu noslēgšana, lai personām ar invaliditāti pielāgotu mājokļus;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mērķrādītājs – līdz 2024. gada 31. decembrim – nodrošināta pieejamība mājokļa videi personām ar invaliditāti.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- 17.06.2023.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mērķrādītāja “līdz 2024. gada 31. decembrim – nodrošināta pieejamība mājokļa videi personām ar invaliditāti” sasniegšanas termiņu starp MK noteikumu 7.2.punktu un MK protokollēmuma 6.punktu, to nosakot 2026.gada 30.jūnijs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9.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mērķrādītājs – līdz 2024. gada 31. decembrim – nodrošināta pieejamība mājokļa videi personām ar invaliditāti.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mērķrādītājs – līdz 2024. gada 31. decembrim – nodrošināta pieejamība mājokļa videi personām ar invaliditāti.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mērķrādītāja “līdz 2024. gada 31. decembrim – nodrošināta pieejamība mājokļa videi personām ar invaliditāti” sasniegšanas termiņu starp MK noteikumu 7.2.punktu un MK protokollēmuma 6.punktu, to nosakot 2026.gada 30.jūnijs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9.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mērķrādītājs – līdz 2024. gada 31. decembrim – nodrošināta pieejamība mājokļa videi personām ar invaliditāti.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19. punktā noteikto atbalstāmo darbību īstenošanai viena mājokļa vides piekļūstamības nodrošināšanas izmaksas indikatīvi nepārsniedz 18 299 </w:t>
            </w:r>
            <w:r w:rsidR="00000000" w:rsidRPr="00000000" w:rsidDel="00000000">
              <w:rPr>
                <w:i w:val="1"/>
                <w:rtl w:val="0"/>
              </w:rPr>
              <w:t xml:space="preserve">euro</w:t>
            </w:r>
            <w:r w:rsidR="00000000" w:rsidRPr="00000000" w:rsidDel="00000000">
              <w:rPr>
                <w:rtl w:val="0"/>
              </w:rPr>
              <w:t xml:space="preserve">, neieskaitot pievienotās vērtības nodokļa izmaksas. Projekta iesniedzējs var pārdalīt kopējo Atveseļošanas fonda finansējumu starp mājokļiem, atkāpjoties no Atveseļošanas fonda finansējuma apmēra vienam mājoklim, bet nepārsniedzot kopējo projekta iesniedzējam pieejamo Atveseļošanas fonda finansējuma kopsummu un nemainot projektā paredzēto mērķa grupas personu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ierobežojums viena mājokļa pielāgošanai noteikumu projekta 11.punktā ir noteikts lielāks, nekā šobrīd pieejamais Atveseļošanas fonda finansējums (dalot uz sasniedzamā rādītāja vienu vienību), lūdzam papildināt noteikumu projektu ar regulējumu, kā sadalās projektos finansējums dalījumā pa avotiem, ņemot vērā, ka šobrīd vēl nav pieņemts EK lēmums par papildus Atveseļošanas fonda finansējuma pieejamību.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noteikto atbalstāmo darbību īstenošanai viena mājokļa vides pieejamības nodrošināšanas vidējās izmaksas nepārsniedz 18 299 </w:t>
            </w:r>
            <w:r w:rsidR="00000000" w:rsidRPr="00000000" w:rsidDel="00000000">
              <w:rPr>
                <w:i w:val="1"/>
                <w:rtl w:val="0"/>
              </w:rPr>
              <w:t xml:space="preserve">euro</w:t>
            </w:r>
            <w:r w:rsidR="00000000" w:rsidRPr="00000000" w:rsidDel="00000000">
              <w:rPr>
                <w:rtl w:val="0"/>
              </w:rPr>
              <w:t xml:space="preserve">, neieskaitot pievienotās vērtības nodokļa izmaksas. Projekta iesniedzējs var pārdalīt kopējo Atveseļošanas fonda finansējumu starp mājokļiem, atkāpjoties no Atveseļošanas fonda finansējuma apmēra vienam mājoklim, bet nepārsniedzot kopējo projekta iesniedzējam pieejamo Atveseļošanas fonda finansējuma kopsummu un nemainot projektā paredzēto mērķa grupas personu skaitu.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var iesniegt projektu par tādu mērķa grupas personu skaitu, kurām attiecīgajā pašvaldībā sniedzams atbalsts, kāds ir noteikts šo noteikumu 1. pielikumā (turpmāk – pašvaldības kvota).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14., 29.3., 29.8.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13. punktu, kas pasaka, ka Projekta iesniedzējs ir Pašvaldības un Projektā iekļauj savā pašvaldības administratīvajā teritorijā deklarētas mērķa grupas personas mājokli, lūdzam papildināt Anotāciju ar konkrētiem norādījumiem par pašvaldības tiesībām ieguldīt mērķa grupas mājokļos, kas nav pašvaldības īpašums, veicot konkrētas norādes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Pamatojumu pašvaldības tiesībām ieguldīt privātajā īpašumā, ieguldījuma uzskaites un uzturēšanas kārtība (nepieciešamība uzņemt pašvaldības bilancē, nodošanas akts mērķa grupas personai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Materiālo ieguldījumu uzturēšanas nosacījumiem (Cik gadi, kurš atbildīgs un kā tiks nodrošināta pārraudzība) un  materiālo ieguldījumu uzturēšanas termiņiem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minēts, ka attiecībā uz veiktajiem ieguldījumiem mājokļu vides pieejamības nodrošināšanā un to grāmatvedības uzskaiti, finansējuma saņēmējs izmanto MK 2005. gada 27. decembra noteikumos Nr. 1031 “Noteikumi par budžetu izdevumu klasifikāciju atbilstoši ekonomiskajām kategorijām” noteiktos klasifikācijas kodus, tas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mājokļa pielāgošana tiek veikta privātpersonas (iedzīvotāja) īpašumā, tad būtu piemērojams ekonomiskās klasifikācijas kods 6330 “Atbalsta pasākumi un kompensācijas natūrā”, kas nozīmē, ka veiktie pielāgojumi ir “piederīgi” mājoklim;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savukārt, ja mājokļa pielāgošana tiek veikta pašvaldības īpašumā, piemēram, pašvaldības īpašumā esošajā sociālajā mājā, tad būtu piemērojams ekonomiskās klasifikācijas kods 5250 “Kapitālais remonts un rekonstrukcija”, kas nozīmē, ka veiktie pielāgojumi tiek uzskaitīti un ir “piederīgi” pašvaldības īpašumam.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īpaši uzraudzības vai ilgtspējas nosacījumi noteikumu projektā nav iekļauti. Atbilstoši noteikumu projekta 29.11. apakšpunktā minētajam, finansējuma saņēmējam ir jānodrošina ar projekta īstenošanu saistītās dokumentācijas uzglabāšanu līdz 2031.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var iesniegt projektu par tādu mērķa grupas personu skaitu, kurām attiecīgajā pašvaldībā sniedzams atbalsts, kāds ir noteikts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(turpmāk – pašvaldības kvota).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izvērtē šo noteikumu 15.1. apakšpunktā minētos dokumentus un, ņemot vērā vadlīnijas kritēriju piemērošanai mērķa grupas personas un tās mājokļa atbilstības noteikšanai (3. pielikums),  pārliecinās par mērķa grupas personas un tās mājokļa atbilstību un sagatavo  mērķa grupas personas un tās mājokļa atbilstības izvērtējumu (4.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15.2. apakšpunktu, norādot termiņu kāda tiek izvērtēts iesniegums un dalību apliecinošie dokumenti.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 sadaļa, ka iesnieguma izskatīšana, lēmuma pieņemšana un mērķa grupas personas vai mērķa grupas personas likumiskā vai pilnvarotā pārstāvja informēšana notiek Administratīvā procesa likuma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Iesnieguma izskatīšana un lēmuma pieņemšana ir administratīvais akts, kas tiek izdots atbilstoši Administratīvā procesa likumam, kas paredz, ka lēmums ir jāpieņem viena mēneša laikā no iesnieguma saņemšanas dienas (ar iespēju pagarināt lēmuma pieņemšanu Administratīvā procesa likumā noteiktajos gadījumos). Attiecīgi atsevišķi noteikt termiņus lēmuma pieņemšanai noteikuma projektā nav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izvērtē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minētos dokumentus un, ņemot vērā vadlīnijas kritēriju piemērošanai mērķa grupas personas un tās mājokļa atbilstības noteikšanai (</w:t>
            </w:r>
            <w:r w:rsidR="00000000" w:rsidRPr="00000000" w:rsidDel="00000000">
              <w:rPr>
                <w:rtl w:val="0"/>
              </w:rPr>
              <w:t xml:space="preserve">3. </w:t>
            </w:r>
            <w:r w:rsidR="00000000" w:rsidRPr="00000000" w:rsidDel="00000000">
              <w:rPr>
                <w:rtl w:val="0"/>
              </w:rPr>
              <w:t xml:space="preserve">pielikums</w:t>
            </w:r>
            <w:r w:rsidR="00000000" w:rsidRPr="00000000" w:rsidDel="00000000">
              <w:rPr>
                <w:rtl w:val="0"/>
              </w:rPr>
              <w:t xml:space="preserve">),  pārliecinās par mērķa grupas personas un tās mājokļa atbilstību un sagatavo mērķa grupas personas un tās mājokļa atbilstības izvērtējumu (</w:t>
            </w:r>
            <w:r w:rsidR="00000000" w:rsidRPr="00000000" w:rsidDel="00000000">
              <w:rPr>
                <w:rtl w:val="0"/>
              </w:rPr>
              <w:t xml:space="preserve">4. </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pēc šo noteikumu 15.1. apakšpunktā minēto dokumentu pārbaudes organizē mērķa grupas personas mājokļa apsekošanu, piesaistot ergoterapeitu, kurš sniedz atzinumu par mērķa grupas personai nepieciešamajiem mājokļa pielāgojumiem, un, ja nepieciešams, būvspeciālistu, kurš pārliecinās, vai mājoklī nav veikta nelikumīga pārbūve, un sagatavo slēdzienu par iespējamajiem risinājumiem mājokļa pielāgošanai;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Ministru kabineta noteikumu projekta 15.4.punktā minētie speciālisti sniedz katrs atsevišķi savu apliecinājumu, vai arī veic atbilstošus ierakstus novērtējuma anketas (4.pielikuma)  4.kritērija 2.daļas 4.2.1. – 4.2.3. apakš kritērijos.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katrs speciālists sagatavo atsevišķu izvērtējuma dokumentu. Ergoterapeits sagatavo atzinumu par mērķa grupas personai nepieciešamajiem mājokļa pielāgojumiem, savukārt būvpeciālists pārliecinās, vai mājoklī nav veikta nelikumīga pārbūve, un sagatavo slēdzienu par iespējamajiem risinājumiem mājokļa pielāgošanai. Pēc minēto dokumentu (atzinuma un slēdziena) apkopojuma pašvaldības sociālais dienests veic ierakstu novērtējuma anketas atbilstošā kritērija izvērtējuma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pēc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minēto dokumentu pārbaudes organizē mērķa grupas personas mājokļa apsekošanu, piesaistot ergoterapeitu, kurš sniedz atzinumu par mērķa grupas personai nepieciešamajiem mājokļa pielāgojumiem, un, ja nepieciešams, būvspeciālistu, kurš pārliecinās, vai mājoklī nav veikta nelikumīga pārbūve vai netiek skartas mājokļa nesošās sienas, un sagatavo slēdzienu par iespējamajiem risinājumiem mājokļa pielāgošanai;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pēc šo noteikumu 15.1. apakšpunktā minēto dokumentu pārbaudes organizē mērķa grupas personas mājokļa apsekošanu, piesaistot ergoterapeitu, kurš sniedz atzinumu par mērķa grupas personai nepieciešamajiem mājokļa pielāgojumiem, un, ja nepieciešams, būvspeciālistu, kurš pārliecinās, vai mājoklī nav veikta nelikumīga pārbūve, un sagatavo slēdzienu par iespējamajiem risinājumiem mājokļa pielāgošanai;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Ministru kabineta noteikumu projekta 15.4.punktā minētie speciālisti sniedz katrs atsevišķi savu apliecinājumu, vai arī veic atbilstošus ierakstus novērtējuma anketas (4.pielikuma)  4.kritērija 2.daļas 4.2.1. – 4.2.3. apakškritērijos.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14.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pēc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minēto dokumentu pārbaudes organizē mērķa grupas personas mājokļa apsekošanu, piesaistot ergoterapeitu, kurš sniedz atzinumu par mērķa grupas personai nepieciešamajiem mājokļa pielāgojumiem, un, ja nepieciešams, būvspeciālistu, kurš pārliecinās, vai mājoklī nav veikta nelikumīga pārbūve vai netiek skartas mājokļa nesošās sienas, un sagatavo slēdzienu par iespējamajiem risinājumiem mājokļa pielāgošanai;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 pieņem lēmumu par mērķa grupas personas iekļaušanu pasākumā vai atteikumu iekļaut personu pasākumā.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15.6. apakšpunktu, norādot termiņu kādā tiek pieņemts lēmums par personas iekļaušanu pasākumā vai atteikumu.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 sadaļa, ka iesnieguma izskatīšana, lēmuma pieņemšana un mērķa grupas personas vai mērķa grupas personas likumiskā vai pilnvarotā pārstāvja informēšana notiek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Iesnieguma izskatīšana un lēmuma pieņemšana ir administratīvais akts, kas tiek izdots atbilstoši Administratīvā procesa likumam, kas paredz, ka lēmums ir jāpieņem viena mēneša laikā no iesnieguma saņemšanas dienas (ar iespēju pagarināt lēmuma pieņemšanu Administratīvā procesa likumā noteiktajos gadījumos). Attiecīgi atsevišķi noteikt termiņus lēmuma pieņemšanai noteikuma projektā nav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pieņem lēmumu par mērķa grupas personas iekļaušanu pasākumā vai atteikumu iekļaut personu pasākumā.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 ietvaros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mērķgrupas mājokļa apsekošanā un novērtēšanā ir jāpiesaista būvspeciālisti un ergoterapeiti, kuri sniedz apliecinājumus par nepieciešamajiem pielāgojumiem mājoklim vai nelikumīgām pārbūvēm, lūdzam attiecināmajās izmaksās iekļaut arī apliecinājuma sagatavošanas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uz riskiem, kas saistīti ar minēto speciālistu pieejamību. Nosakot ergoterapeita konsultācijas kā obligātas, var veidoties situācijas, kad šie speciālisti nav pieejami, nav gatavi slēgt līgumus par pakalpojumu sniegšanu, tādējādi apdraudot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vides pieejamības, t.sk., ergoterapeita konsultācijas un būvspeciālistu konsultācijas un apliecinājumu izsniegšanas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Ergoterapeita un būvspeciālista izmaksas ir attiecināmas noteikumu projekta 20.1. apakšpunktā minētās atbalstāmās darbības “projekta vadība un īstenošana” ietvaros. Tā kā  slēdziena un atzinuma sagatavošana  tiek veikta  noteikumu 20.1. apakšpunkta darbības ietvaros (uz darba vai pakalpojuma līguma pamata) un atsevišķas izmaksas nav paredzamas.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ergoterapeita izvērtējums ir nepieciešams, lai novērtētu mērķa grupas personas mājokli un konkrētajai personai nepieciešamos pielāgojumus un risinājumus, kas uzlabotu mājokļa vides pieejamību, attiecīgi sniedzot kompetentu un profesionālu atbalstu sociālajam dienestam lēmuma pieņemšanā. Ņemot vērā, ka 3.1.2.1.i. investīcijas otrās kārtas pasākuma ietvaros projekti netiks īstenoti visi vienlaicīgi, jo ir dažāds kvotu skaits (piemēram, vienai pašvaldībai ir pieejama kvota 78 mājokļu pielāgošanai, kamēr citām pašvaldībām ir atbalsts 1 vai 2 mājokļu pielāgošanai), mērķa grupas atlases laiks un ergoterapeitu noslodze varētu būt dažāda un pieprasījums pēc ergoterapeita pakalpojumiem būtu izlīdzināts.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ergoterapeitu piesaistei aicinām izmantot LM mājas lapā ievietoto aktuālo informāciju ar Latvijas novados pieejamiem ergotarapeitiem. Minētā informācija izstrādāta sadarbībā ar Latvijas Ergoterapeitu asociāciju, pieejama šeit: https://www.lm.gov.lv/lv/atveselosanas-fonda-pasakums-259-personu-ar-invaliditati-majoklu-pielagosanai.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ietvaros atbalstāmas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vides pieejamības konsultācijas un būvspeciālistu konsultācijas.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mērķgrupas mājokļa apsekošanā un novērtēšanā ir jāpiesaista būvspeciālisti un ergoterapeiti, kuri sniedz apliecinājumus par nepieciešamajiem pielāgojumiem mājoklim vai nelikumīgām pārbūvēm, lūdzam attiecināmajās izmaksās iekļaut arī apliecinājuma sagatavošanas izmaksas. Ierosinām 19.6.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vides pieejamības, t.sk., ergoterapeita konsultācijas un būvspeciālistu konsultācijas un apliecinājumu izsniegšanas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17.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vides pieejamības konsultācijas</w:t>
            </w:r>
            <w:r w:rsidR="00000000" w:rsidRPr="00000000" w:rsidDel="00000000">
              <w:rPr>
                <w:b w:val="1"/>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vides pieejamības konsultācijas un būvspeciālistu konsultācijas.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19.6. punktā “vides pieejamības konsultācijas” ar vārdu “ergoterapeita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“vides pieejamības konsultācijas”  ir domāti citi pakalpojumi, tad punkts ir jāpapildina ar “ergoterapeita pakalpojumiem”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pieejamības konsultācijas nevaram aizstāt ar ergoterapeita pakalpojumiem, ņemot vērā, ka vides pieejamības konsultācijas ir plašāks jēdziens un to var veikt plašāks speciālistu klāsts, piemēram, nevalstisko organizāciju pārstāvji, kas pārstāv personu ar invaliditāti intereses un kuriem ir pieredze vismaz 20 konsultāciju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vides pieejamības konsultācijas</w:t>
            </w:r>
            <w:r w:rsidR="00000000" w:rsidRPr="00000000" w:rsidDel="00000000">
              <w:rPr>
                <w:b w:val="1"/>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Izmaksas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minētās atbalstāmās darbības īstenošanai finansējuma saņēmējs plāno kā vienu izmaksu pozīciju 10 procentu apmērā no šo noteikumu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minēto izmaksu, kas nav projekta vadības un īstenošanas personāla atlīdzības, Atveseļošanas fonda finansējuma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ierosinām MK noteikumu 22.punktā paaugstināt personāla un projektu vadības izmaksu vienoto likmi līdz 15% no iepirkuma līgumu izmaksām, izņemot uz pakalpojuma līguma piesaistītajam projekta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jau iepriekš sniegtajiem argumentiem,  Rīgas valstspilsētas pašvaldība vērš uzmanību, ka tā sniedz gandrīz 1/3 daļu ieguldījuma mērķa rādītāja sasniegšanā (t.i., 78 no 259). Papildus minētajam norāda, lai pašvaldības sociālais dienests vai projektā iesaistītais personāls varētu no 592 personām ar invaliditāti atlasīt 78, kurām ir tiesības veikt savā mājoklī (t.i., īpašumā vai lietošanā (īrēts) esošs nekustamais īpašums (dzīvojamā māja vai tās daļa, dzīvokļa īpašums vai tā daļa), kurā persona ir deklarējusi savu dzīvesvietu) pielāgošanas darbus, ir jāapzina ievērojami lielāks (vismaz par 30%) potenciālo respondentu skaits. Pašvaldība ir pateicīga par MK noteikumos iestrādāto regulējumu personu datu piekļuvei, kas atvieglo mērķa grupas sasniegšanu, bet tas neatvieglo jautājuma komplicētībā lielajās pilsētās – par mērķa grupas tiesībām veikt pielāgojumus savā mājoklī. Bieži vien šīs personas dzīvo nomātajos mājokļos un to īpašnieki nepiekrīt pielāgošanas darbu veikšanai, vai arī tiem ir komunālo maksājumu parādi vai cits. Līdz ar to projekta iesaistītajam personālam ir jāiegulda apjomīgs darbs mērķa grupas apzināšanā un atlasē, kā arī juristiem – izvērtēt potenciālā dalībnieka atbilstību 3.1.2.1.i. investīcijas nosacījumiem. Papildus minētajam projekta ieviešanas gaitā ir jārisina citas problēmas, kas izrietēs, piemēram, vienas personas aizstāšanu ar citu.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mājokļa vides pielāgošana ir balstīta uz mērķa grupas personas vajadzību izvērtējumu un šī izvērtējuma sagatavošanā ir iesaistīts ergoterapeits, būvspeciālists un  sociālais darbinieks un NVO pārstāvis, tad minētajam personālam arī ir nepieciešams nodrošināt atlīdzību projekta ietvaros.. Vēršam uzmanību, ka šobrīd Rīgas valstspilsētas pašvaldības sociālajā dienestā no 6 ergoterapeitiem ir nodarbināti tikai 4 to trūkuma dēļ. Ņemot vērā arī apjomīgo darbu mērķa grupas atlasē, ergoterapeits un būvspeciālists tiks piesaistīts uz ārpakalpojuma līguma pamata, lai nodrošinātu 3.1.2.1.i investīcijas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iepazīstoties ar Labklājības ministrijas Izziņas 26.punktā sniegtajiem argumentiem, ka projekta vadības un īstenošanas personāla atlīdzību apjomu nav nepieciešams palielināt virs 10%, jo pārējās pašvaldības šādu iebildumu/priekšlikumu nav paudušas, Rīgas valstspilsētas pašvaldība norāda, ka no MK noteikumu 1.pielikumā minētajām 43 pašvaldībām tikai vēl trim pašvaldībām sasniedzamais mērķrādītājs ir noteikts virs 10 (robežās no 10 – 12), kas varētu būt arī viens no iemesliem.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Labklājības ministriju palielināt personāla atlīdzības apmēru no 10% līdz 15% vai arī papildināt 20.6.punktu,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vides pieejamības, ergoterapeita un būvspeciālista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22. punkts, nosakot projekta vadības un īstenošanas izmaksām vienoto likmi 15% apmērā, ņemot vērā pārskatīto projekta īstenošanas ilgumu, t.sk. veicamos darbus mērķa grupas apzināšanai līdz projekta iesnieguma iesniegšanai.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Izmaksas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minētās atbalstāmās darbības īstenošanai finansējuma saņēmējs plāno kā vienu izmaksu pozīciju 15 procentu apmērā no šo noteikumu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minēto izmaksu, kas nav projekta vadības un īstenošanas personāla atlīdzības, Atveseļošanas fonda finansējuma apmēra.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Izmaksas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minētās atbalstāmās darbības īstenošanai finansējuma saņēmējs plāno kā vienu izmaksu pozīciju 10 procentu apmērā no šo noteikumu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minēto izmaksu, kas nav projekta vadības un īstenošanas personāla atlīdzības, Atveseļošanas fonda finansējuma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ierosinām MK noteikumu 22.punktā paaugstināt personāla un projektu vadības izmaksu vienoto likmi līdz 15% no iepirkuma līgumu izmaksām, izņemot uz pakalpojuma līguma piesaistītajam projekta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jau iepriekš sniegtajiem argumentiem, vēršam uzmanību, ka Rīgas valstspilsētas pašvaldība sniedz gandrīz 1/3 daļu ieguldījuma mērķa rādītāja sasniegšanā (t.i., 78 no 259). Papildus minētajam norādām, lai pašvaldības sociālais dienests vai projektā iesaistītais personāls varētu no 592 personām ar invaliditāti atlasīt 78, kurām ir tiesības veikt savā mājoklī (t.i., īpašumā vai lietošanā (īrēts) esošs nekustamais īpašums (dzīvojamā māja vai tās daļa, dzīvokļa īpašums vai tā daļa), kurā persona ir deklarējusi savu dzīvesvietu) pielāgošanas darbus, ir jāapzina ievērojami lielāks (vismaz par 30%) potenciālo respondentu skaits. Esam pateicīgi par MK noteikumos iestrādāto regulējumu personu datu piekļuvei, kas atvieglo mērķa grupas sasniegšanu, bet tas neatvieglo jautājuma komplicētībā lielajās pilsētās – par mērķa grupas tiesībām veikt pielāgojumus savā mājoklī. Bieži vien šīs personas dzīvo nomātajos mājokļos un to īpašnieki nepiekrīt pielāgošanas darbu veikšanai, vai arī tiem ir komunālo maksājumu parādi vai cits. Līdz ar to projekta iesaistītajam personālam ir jāiegulda apjomīgs darbs mērķa grupas apzināšanā un atlasē, kā arī juristiem – izvērtēt potenciālā dalībnieka atbilstību 3.1.2.1.i. investīcijas nosacījumiem. Papildus minētajam projekta ieviešanas gaitā ir jārisina citas problēmas, kas izrietēs, piemēram, vienas personas aizstāšanu ar citu.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mājokļa vides pielāgošana ir balstīta uz mērķa grupas personas vajadzību izvērtējumu un šī izvērtējuma sagatavošanā ir iesaistīts ergoterapeits, būvspeciālists un  sociālais darbinieks un NVO pārstāvis, tad minētajam personālam arī ir nepieciešams nodrošināt atlīdzību projekta ietvaros.Vēršam uzmanību, ka šobrīd Rīgas valstspilsētas pašvaldības sociālajā dienestā no 6 ergoterapeitiem ir nodarbināti tikai 4 to trūkuma dēļ. Ņemot vērā arī apjomīgo darbu mērķa grupas atlasē, ergoterapeits un būvspeciālists tiks piesaistīts uz ārpakalpojuma līguma pamata, lai nodrošinātu 3.1.2.1.i investīcijas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iepazīstoties ar Labklājības ministrijas Izziņas 26.punktā sniegtajiem argumentiem, ka projekta vadības un īstenošanas personāla atlīdzību apjomu nav nepieciešams palielināt virs 10%, jo pārējās pašvaldības šādu iebildumu/priekšlikumu nav paudušas, Rīgas valstspilsētas pašvaldība norāda, ka no MK noteikumu 1.pielikumā minētajām 43 pašvaldībām tikai vēl trim pašvaldībām sasniedzamais mērķrādītājs ir noteikts virs 10 (robežās no 10 – 12), kas varētu būt arī viens no iemesliem.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Labklājības ministriju palielināt personāla atlīdzības apmēru no 10% līdz 15% vai arī papildināt 20.6.punktu,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vides pieejamības, ergoterapeita un būvspeciālista konsultācijas.”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26.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Izmaksas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minētās atbalstāmās darbības īstenošanai finansējuma saņēmējs plāno kā vienu izmaksu pozīciju 15 procentu apmērā no šo noteikumu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minēto izmaksu, kas nav projekta vadības un īstenošanas personāla atlīdzības, Atveseļošanas fonda finansējuma apmēra.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Izmaksas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minētās atbalstāmās darbības īstenošanai finansējuma saņēmējs plāno kā vienu izmaksu pozīciju 10 procentu apmērā no šo noteikumu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minēto izmaksu, kas nav projekta vadības un īstenošanas personāla atlīdzības, Atveseļošanas fonda finansējuma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- 17.06.2023.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MK noteikumu 22.punktā paaugstināt personāla un projektu vadības izmaksu vienoto likmi līdz 15% no iepirkuma līgumu izmaksām, izņemot uz pakalpojuma līguma piesaistītajam projekta personālam. Ņemot vērā, ka, lai atlasītu MK noteikumu 1.pielikumā noteikto mērķa grupu skaitu 78 Rīgas valstspilsētas pašvaldībai ir jāapzina lielāks personu skaits kā šajā pielikumā noteikts. Papildus minētajam atlases process ir laikietilpīgs un komplicēts darbs – vispirms dokumentāri jāatlasa personas atbilstoši MK noteikumos noteiktajam un pēc tam fiziski jāapseko tie katrs savā dzīvesvietā, jāsastāda apsekojuma akti. Līdz ar to pasākumā iesaistīto personāla slodzes ir lielākas nekā MK noteikumu anotācijā norādīts, t.i., būvspeciālista un ergoterapeita slodze projektā ir vismaz 0,5 slodzes (nevis attiecīgi 0,4 un 0,3). Papildus tam balstoties uz minēto ekspertu slēdzieniem par 78 mājvietām ir jāizstrādā komplicēta un uz individuālajām vajadzībām balstīts iepirkuma procedūra 78 mājvietu pielāgošanai, līdz ar to juriskonsulta un iepirkumu speciālistu slodze projektā ir jābūt visa projekta īstenošanas laikā un ar lielāku iesaisti (nekā 0,5 slodzes), kā arī grāmatvedis/finansists tiek iesaistīts visa projekta īstenošanas laikā, jo piedalās finanšu dokumentu apstrādē, grāmatošanā un projekta atskaišu sagatavošanā (iesaistīts projektā visus 24 mēnešus nevis tikai 21 mēnesi). Ņemot vērā minēto personāla un projektu vadības izmaksas ir jāpalielina no 10% līdz 15% no iepirkuma līgumu izmaksām, izņemot uz pakalpojuma līguma piesaistītajam projekta personālam.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3.1.2.1.i. investīcijas otrās kārtas pasākuma mērķis ir personu, kurām ir kustību traucējumi, mājokļu pielāgošana, līdz ar to šīs investīcijas finansējums maksimāli novirzāms šim mērķim, t.i., mērķa grupas personu mājokļu vides pielāgošanai. Savukārt projekta vadības un īstenošanas darbībai paredzētais finansējums 10% apmērā LM ieskatā ir pietiekams un samērīgs pret investīcijas mērķi, kā arī ir atbilstošs paredzamajai personāla noslodzei (aprakstīts anotācijā). Vienlaikus jāatzīmē, ka projektu īstenotāji, ja tas ir nepieciešams, 10% finansējuma ietvaros var noteikt atšķirīgu personāla noslodzi kā aprakstīts anotācijā. Attiecībā uz Rīgas valstspilsētu, tad kopumā projekta vadības un īstenošanas darbībai finansējums veidotu 129 756.544 </w:t>
            </w:r>
            <w:r w:rsidR="00000000" w:rsidRPr="00000000" w:rsidDel="00000000">
              <w:rPr>
                <w:i w:val="1"/>
                <w:rtl w:val="0"/>
              </w:rPr>
              <w:t xml:space="preserve">euro</w:t>
            </w:r>
            <w:r w:rsidR="00000000" w:rsidRPr="00000000" w:rsidDel="00000000">
              <w:rPr>
                <w:rtl w:val="0"/>
              </w:rPr>
              <w:t xml:space="preserve"> uz 30 mēnešiem, vidēji 4 325.21 </w:t>
            </w:r>
            <w:r w:rsidR="00000000" w:rsidRPr="00000000" w:rsidDel="00000000">
              <w:rPr>
                <w:i w:val="1"/>
                <w:rtl w:val="0"/>
              </w:rPr>
              <w:t xml:space="preserve">euro </w:t>
            </w:r>
            <w:r w:rsidR="00000000" w:rsidRPr="00000000" w:rsidDel="00000000">
              <w:rPr>
                <w:rtl w:val="0"/>
              </w:rPr>
              <w:t xml:space="preserve">mēnesī. Turklāt lielāka noslodze veidotos pirmos 4 mēnešus, kad notiek mērķa grupas atlase, mājokļu apsekošana, lēmumu pieņemšana, savukārt pārējos mēnešos darba apjoms vairāk ir saistīts ar iepirkuma organizēšanu, dokumentu pārbaudi un to apmaksu.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no citām pašvaldībām nav saņemti iebildumi par projekta vadībai un īstenošanai nepieciešamā finansējuma apmēru, aicinām atbalstīt noteikuma projekta 22. punktu LM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Izmaksas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minētās atbalstāmās darbības īstenošanai finansējuma saņēmējs plāno kā vienu izmaksu pozīciju 15 procentu apmērā no šo noteikumu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minēto izmaksu, kas nav projekta vadības un īstenošanas personāla atlīdzības, Atveseļošanas fonda finansējuma apmēra.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Izmaksas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minētās atbalstāmās darbības īstenošanai finansējuma saņēmējs plāno kā vienu izmaksu pozīciju 10 procentu apmērā no šo noteikumu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minēto izmaksu, kas nav projekta vadības un īstenošanas personāla atlīdzības, Atveseļošanas fonda finansējuma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MK noteikumu 22.punktā paaugstināt personāla un projektu vadības izmaksu vienoto likmi līdz 15% no iepirkuma līgumu izmaksām, izņemot uz pakalpojuma līguma piesaistītajam projekta personālam. Rīgas valstspilsētas pašvaldībanorāda, lai atlasītu MK noteikumu 1.pielikumā noteikto mērķa grupu skaitu 78 ir jāapzina lielāks personu skaits kā šajā pielikumā noteikts. Papildus minētajam atlases process ir laikietilpīgs un komplicēts darbs – vispirms dokumentāri jāatlasa personas atbilstoši MK noteikumos noteiktajam un pēc tam fiziski jāapseko tie katrs savā dzīvesvietā, jāsastāda apsekojuma akti. Līdz ar to pasākumā iesaistīto personāla slodzes ir lielākas nekā MK noteikumu anotācijā norādīts, t.i., būvspeciālista un ergoterapeita slodze projektā ir vismaz 0,5 slodzes (nevis attiecīgi 0,4 un 0,3). Papildus tam, balstoties uz minēto ekspertu slēdzieniem par 78 mājvietām, ir jāizstrādā komplicēta un uz individuālajām vajadzībām balstīts iepirkuma procedūra 78 mājvietu pielāgošanai, līdz ar to juriskonsulta un iepirkumu speciālistu slodze projektā ir jābūt visa projekta īstenošanas laikā un ar lielāku iesaisti (nekā 0,5 slodzes), kā arī grāmatvedis/finansists tiek iesaistīts visa projekta īstenošanas laikā, jo piedalās finanšu dokumentu apstrādē, grāmatošanā un projekta atskaišu sagatavošanā (iesaistīts projektā visus 24 mēnešus nevis tikai 21 mēnesi). Ņemot vērā minēto personāla un projektu vadības izmaksas ir jāpalielina no 10% līdz 15% no iepirkuma līgumu izmaksām, izņemot uz pakalpojuma līguma piesaistītajam projekta personālam.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26.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Izmaksas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minētās atbalstāmās darbības īstenošanai finansējuma saņēmējs plāno kā vienu izmaksu pozīciju 15 procentu apmērā no šo noteikumu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minēto izmaksu, kas nav projekta vadības un īstenošanas personāla atlīdzības, Atveseļošanas fonda finansējuma apmēra.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Izmaksas šo noteikumu 19.1. apakšpunktā minētās atbalstāmās darbības īstenošanai finansējuma saņēmējs plāno kā vienu izmaksu pozīciju 10 procentu apmērā no Atveseļošanas fonda finansējuma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dažādas interpretācijas iespējas, lūdzam redakcionāli precizēt 21.punktu, redakcionāli pareizi aprakstot formulu, kā aprēķināt Ministru kabineta noteikumu projekta 19.1.apakšpunktā minēto atbalstāmo darbību izmaksas. Vēršam uzmanību, ka 19.1. apakšpunktā minētās personāla izmaksas arī tiek finansētas no Atveseļošanas fonda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22.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Izmaksas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minētās atbalstāmās darbības īstenošanai finansējuma saņēmējs plāno kā vienu izmaksu pozīciju 15 procentu apmērā no šo noteikumu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minēto izmaksu, kas nav projekta vadības un īstenošanas personāla atlīdzības, Atveseļošanas fonda finansējuma apmēra.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Izmaksas šo noteikumu 19.1. apakšpunktā minētās atbalstāmās darbības īstenošanai finansējuma saņēmējs plāno kā vienu izmaksu pozīciju 10 procentu apmērā no Atveseļošanas fonda finansējuma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lūdzam precizēt 21.punktu, redakcionāli pareizi aprakstot formulu kā aprēķināt Ministru kabineta noteikumu projekta 19.1.apakšpunktā minēto atbalstāmo darbību izmaksas. Vēršam uzmanību, ka 19.1. apakšpunktā minētās personāla izmaksas arī tiek finansētas no Atveseļošanas fonda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20.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Izmaksas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minētās atbalstāmās darbības īstenošanai finansējuma saņēmējs plāno kā vienu izmaksu pozīciju 15 procentu apmērā no šo noteikumu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minēto izmaksu, kas nav projekta vadības un īstenošanas personāla atlīdzības, Atveseļošanas fonda finansējuma apmēra.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Izmaksas šo noteikumu 19.1. apakšpunktā minētās atbalstāmās darbības īstenošanai finansējuma saņēmējs plāno kā vienu izmaksu pozīciju 10 procentu apmērā no Atveseļošanas fonda finansējuma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ņemot vērā noteikumu projekta 10.punktā noteikto, ka "pasākuma </w:t>
            </w:r>
            <w:r w:rsidR="00000000" w:rsidRPr="00000000" w:rsidDel="00000000">
              <w:rPr>
                <w:u w:val="single"/>
                <w:rtl w:val="0"/>
              </w:rPr>
              <w:t xml:space="preserve">Atveseļošanas fonda finansējums ir 3 400 000 euro</w:t>
            </w:r>
            <w:r w:rsidR="00000000" w:rsidRPr="00000000" w:rsidDel="00000000">
              <w:rPr>
                <w:rtl w:val="0"/>
              </w:rPr>
              <w:t xml:space="preserve"> [..]" un atsevišķiem projekta iesniedzējiem nav īpaši noteikts pieejamā finansējuma limits (ir noteikta "pašvaldības kvota", kas nosaka mērķa grupas </w:t>
            </w:r>
            <w:r w:rsidR="00000000" w:rsidRPr="00000000" w:rsidDel="00000000">
              <w:rPr>
                <w:u w:val="single"/>
                <w:rtl w:val="0"/>
              </w:rPr>
              <w:t xml:space="preserve">personu</w:t>
            </w:r>
            <w:r w:rsidR="00000000" w:rsidRPr="00000000" w:rsidDel="00000000">
              <w:rPr>
                <w:rtl w:val="0"/>
              </w:rPr>
              <w:t xml:space="preserve"> skaitu attiecīgajā pašvaldībā). Ierosinām vārdus "no Atveseļošanas fonda finansējuma apmēra" aizstāt ar vārdiem "no projekta iesniedzējam pieejamā Atveseļošanas fonda finansējuma apmēra" vai tamlīdzīgi.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attiecas arī uz noteikumu projekta 27.4.apakšpunktu.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22. punkts (iepriekš 21.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noteikumu projekta 29.4. apakšpunktā (iepriekš 27.4. apakšpunktā) noteikto maksājumu kopsummu, tā ir nosakāma no kopējā projektam pieejamā finansējuma (AF un budžeta finansējuma), un tas nav maināms.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Izmaksas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minētās atbalstāmās darbības īstenošanai finansējuma saņēmējs plāno kā vienu izmaksu pozīciju 15 procentu apmērā no šo noteikumu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minēto izmaksu, kas nav projekta vadības un īstenošanas personāla atlīdzības, Atveseļošanas fonda finansējuma apmēra.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izmaksas, kas radušās šo noteikumu 19. punktā atbalstāmo darbību īstenošanai un pārsniedz līgumā noteikto projekta Atveseļošanas fonda finansējuma apmēru, taču tās ir iekļaujamas projektā kā pašvaldības budžeta finansējums vai privātais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noteikuma projekta 22.3.apakšpunktu ar nosacījumu, ka līdzfinansējums projekta var tikt iekļauts tikai gadījumā, ja tas ir obligāti nepieciešams investīcijas tiešā mērķa sasniegšanai un bez tā nav iespējams sasniegt investīcijas mērķi. Vienlaikus, lūdzam skaidrot, kāda veida līdzfinansējums tiek plānots - vai tiek paredzēts pašvaldības līdzfinansējums vai mērķa grupas veikts personīgs ieguldījums.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24.3. apakšpunkts (iepriekš 22.3. apakšpunkts). Skaidrojam, ka privātais līdzfinansējums ir domāts gadījumos, kad finansējuma saņēmējs ir pašvaldības kapitālsabiedrība.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izmaksas, kas radušās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atbalstāmo darbību īstenošanai un pārsniedz līgumā noteikto projekta Atveseļošanas fonda finansējuma apmēru, taču tās ir iekļaujamas projektā kā pašvaldības budžeta finansējums, ja to paredz pašvaldības saistošie noteikumi, vai privātais finansējums, un ja šīs izmaksas ir tieši saistītas ar šo noteikumu </w:t>
            </w:r>
            <w:r w:rsidR="00000000" w:rsidRPr="00000000" w:rsidDel="00000000">
              <w:rPr>
                <w:rtl w:val="0"/>
              </w:rPr>
              <w:t xml:space="preserve">7.1. </w:t>
            </w:r>
            <w:r w:rsidR="00000000" w:rsidRPr="00000000" w:rsidDel="00000000">
              <w:rPr>
                <w:rtl w:val="0"/>
              </w:rPr>
              <w:t xml:space="preserve">apakšpunktā</w:t>
            </w:r>
            <w:r w:rsidR="00000000" w:rsidRPr="00000000" w:rsidDel="00000000">
              <w:rPr>
                <w:rtl w:val="0"/>
              </w:rPr>
              <w:t xml:space="preserve"> noteiktā atskaites punkta un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noteiktā mērķrādītāja sasniegšanu un atbilst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noteiktajām atbalstāmajām darbībām un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attiecināmo izmaksu pozīcijām.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25.3.1. 20 darbdienu laikā pēc šo noteikumu </w:t>
            </w:r>
            <w:r w:rsidR="00000000" w:rsidRPr="00000000" w:rsidDel="00000000">
              <w:rPr>
                <w:rtl w:val="0"/>
              </w:rPr>
              <w:t xml:space="preserve">25.2. </w:t>
            </w:r>
            <w:r w:rsidR="00000000" w:rsidRPr="00000000" w:rsidDel="00000000">
              <w:rPr>
                <w:rtl w:val="0"/>
              </w:rPr>
              <w:t xml:space="preserve">apakšpunktā</w:t>
            </w:r>
            <w:r w:rsidR="00000000" w:rsidRPr="00000000" w:rsidDel="00000000">
              <w:rPr>
                <w:rtl w:val="0"/>
              </w:rPr>
              <w:t xml:space="preserve"> minētās projekta veidlapas saņemšanas pārliecinās, ka uz projekta iesniedzēju, un, ja attiecināms, tā valdes vai padomes locekli vai prokūristu, nav attiecināmi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noteiktie izslēgšanas kritēriji (turpmāk – izslēgšanas kritēriji), kā arī pārliecinās, ka projekta veidlapa atbilst šo noteikumu </w:t>
            </w:r>
            <w:r w:rsidR="00000000" w:rsidRPr="00000000" w:rsidDel="00000000">
              <w:rPr>
                <w:rtl w:val="0"/>
              </w:rPr>
              <w:t xml:space="preserve">25.1. </w:t>
            </w:r>
            <w:r w:rsidR="00000000" w:rsidRPr="00000000" w:rsidDel="00000000">
              <w:rPr>
                <w:rtl w:val="0"/>
              </w:rPr>
              <w:t xml:space="preserve">apakšpunktā</w:t>
            </w:r>
            <w:r w:rsidR="00000000" w:rsidRPr="00000000" w:rsidDel="00000000">
              <w:rPr>
                <w:rtl w:val="0"/>
              </w:rPr>
              <w:t xml:space="preserve"> minētajā uzaicinājumā iekļautajai informācijai un šo noteikumu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anotācijā sniegto informāciju, ka CFLA projekta veidlapas atbilstības pārbaudes ietvaros nepārbauda mērķa grupas atbilstību atbalsta saņemšanas nosacījumiem un tai plānotos atbalstu mājokļa vides pielāgošanai, lūdzam pārskatīt un precizēt MK noteikumu projekta 25.3.1. apakšpunktā sniegto informāciju par  to, ka CFLA pārbauda veidlapas atbilstību MK noteikumu nosacījumiem, t.i., dzēst minēto nosacījumu vai konkretizēt kādus tieši MK noteikumu nosacījumus pārbauda.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26.3.1. apakšpunkts, nosakot, ka CFLA veic projekta veidlapas atbilstības pārbaudi MK noteikumu nosacījumiem, izņemot mērķa grupas atbilstības pārbaudi.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26.3.1. 30 darbdienu laikā pēc šo noteikumu </w:t>
            </w:r>
            <w:r w:rsidR="00000000" w:rsidRPr="00000000" w:rsidDel="00000000">
              <w:rPr>
                <w:rtl w:val="0"/>
              </w:rPr>
              <w:t xml:space="preserve">26.2. </w:t>
            </w:r>
            <w:r w:rsidR="00000000" w:rsidRPr="00000000" w:rsidDel="00000000">
              <w:rPr>
                <w:rtl w:val="0"/>
              </w:rPr>
              <w:t xml:space="preserve">apakšpunktā</w:t>
            </w:r>
            <w:r w:rsidR="00000000" w:rsidRPr="00000000" w:rsidDel="00000000">
              <w:rPr>
                <w:rtl w:val="0"/>
              </w:rPr>
              <w:t xml:space="preserve"> minētās projekta veidlapas saņemšanas pārliecinās, ka uz projekta iesniedzēju, un, ja attiecināms, tā valdes vai padomes locekli vai prokūristu, nav attiecināmi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noteiktie izslēgšanas kritēriji (turpmāk – izslēgšanas kritēriji), kā arī pārliecinās, ka projekta veidlapa atbilst šo noteikumu </w:t>
            </w:r>
            <w:r w:rsidR="00000000" w:rsidRPr="00000000" w:rsidDel="00000000">
              <w:rPr>
                <w:rtl w:val="0"/>
              </w:rPr>
              <w:t xml:space="preserve">26.1. </w:t>
            </w:r>
            <w:r w:rsidR="00000000" w:rsidRPr="00000000" w:rsidDel="00000000">
              <w:rPr>
                <w:rtl w:val="0"/>
              </w:rPr>
              <w:t xml:space="preserve">apakšpunktā</w:t>
            </w:r>
            <w:r w:rsidR="00000000" w:rsidRPr="00000000" w:rsidDel="00000000">
              <w:rPr>
                <w:rtl w:val="0"/>
              </w:rPr>
              <w:t xml:space="preserve"> minētajā uzaicinājumā iekļautajai informācijai un šo noteikumu nosacījumiem, izņemot mērķa grupas atbilstības pārbaudi;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 finansējuma saņēmējs sagatavo pieprasījumu avansa maksājumam, kurā pamato avansa maksājuma nepieciešamību un apmēru. Avansa maksājumu var pieprasīt veikt vairākos maksājumos, nākamo avansa daļu izmaksājot pēc tam, kad iepriekšējā ir apgūta pilnā apmērā. Avansa maksājuma kopsumma nevar pārsniegt 30 procentus no projekta Atveseļošanas fonda un valsts budžeta finansējuma kopējā apmēra. Avansa maksājums vai avansa maksājuma daļa ir jāapgūst sešu mēnešu laikā no tā saņemšanas dienas saimnieciskā gada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augstas inflācijas apstākļos un divu apjomīgo vienlaikus ieviešamo investīciju fondu (t.i., AF un Kohēzijas politikas programma 2021. -2027.gadam) rezultātā pašvaldībām ir ierobežoti brīvi pašu līdzekļi. Pašvaldības investīciju fondu projektu līdzfinansējuma nodrošināšanai piesaista Valsts kases aizdevumus ar salīdzinoši augstām kredītprocenta likmēm, kas sadārdzina projekta ieviešanu. Līdz ar to, lai mazinātu slogu gan uz pašvaldības aizņemšanās iespējām, gan uz valsts budžetu, no kura tiek finansēti pašvaldības aizņēmumi Valsts kasē, aicinām 27.1.1. punktā noteikt avansa maksājuma kopsummu 50 procentus no projekta Atveseļošanas fonda un valsts budžeta finansējuma kopējā apmēra.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29.1.1. apakšpunkts (iepriekš 27.1.1.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 finansējuma saņēmējs sagatavo pieprasījumu avansa maksājumam, kurā pamato avansa maksājuma nepieciešamību un apmēru. Avansa maksājumu var pieprasīt veikt vairākos maksājumos, nākamo avansa daļu izmaksājot pēc tam, kad iepriekšējā ir apgūta pilnā apmērā. Avansa maksājuma kopsumma nevar pārsniegt 50 procentus no projekta Atveseļošanas fonda un valsts budžeta finansējuma kopējā apmēra. Avansa maksājums vai avansa maksājuma daļa ir jāapgūst sešu mēnešu laikā no tā saņemšanas dienas saimnieciskā gada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 finansējuma saņēmējs sagatavo pieprasījumu avansa maksājumam, kurā pamato avansa maksājuma nepieciešamību un apmēru. Avansa maksājumu var pieprasīt veikt vairākos maksājumos, nākamo avansa daļu izmaksājot pēc tam, kad iepriekšējā ir apgūta pilnā apmērā. Avansa maksājuma kopsumma nevar pārsniegt 30 procentus no projekta Atveseļošanas fonda un valsts budžeta finansējuma kopējā apmēra. Avansa maksājums vai avansa maksājuma daļa ir jāapgūst sešu mēnešu laikā no tā saņemšanas dienas saimnieciskā gada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norāda, ka šobrīd augstas inflācijas apstākļos un divu apjomīgo vienlaikus ieviešamo investīciju fondu (t.i., AF un Kohēzijas politikas programma 2021. -2027.gadam) rezultātā pašvaldībām ir ierobežoti brīvi pašu līdzekļi. Pašvaldības investīciju fondu projektu līdzfinansējuma nodrošināšanai piesaista Valsts kases aizdevumus ar salīdzinoši augstām kredītprocenta likmēm, kas sadārdzina projekta ieviešanu. Līdz ar to, lai mazinātu slogu gan uz pašvaldības aizņemšanās iespējām, gan uz valsts budžetu, no kura tiek finansēti pašvaldības aizņēmumi Valsts kasē, aicinām 27.1.1. punktā noteikt avansa maksājuma kopsummu 50 procentus no projekta Atveseļošanas fonda un valsts budžeta finansējuma kopējā apmēra.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24.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 finansējuma saņēmējs sagatavo pieprasījumu avansa maksājumam, kurā pamato avansa maksājuma nepieciešamību un apmēru. Avansa maksājumu var pieprasīt veikt vairākos maksājumos, nākamo avansa daļu izmaksājot pēc tam, kad iepriekšējā ir apgūta pilnā apmērā. Avansa maksājuma kopsumma nevar pārsniegt 50 procentus no projekta Atveseļošanas fonda un valsts budžeta finansējuma kopējā apmēra. Avansa maksājums vai avansa maksājuma daļa ir jāapgūst sešu mēnešu laikā no tā saņemšanas dienas saimnieciskā gada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ir tiesīgs veikt nepieciešamās darbības mērķa grupas personas mājokļa īpašnieka vārdā, lai nodrošinātu mērķa grupas mājokļu vides pielāgošanu;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kāds juridiskais pamatojums finansējuma saņēmējam dod tiesības veikt nepieciešamās darbības citai personai (kas var nebūt arī mērķa grupa) piederošā īpašumā (slēgt būvdarbu vai citu pakalpojumu līgumus par citai personai piederošā īpašumā veicamiem darbiem, veikt nepieciešamās darbības Būvniecības informācijas sistēmā,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uz mājokļa īpašnieka pilnvaras pamata ir tiesīgs veikt nepieciešamās darbības, tai skaitā ierosināt būvniecību, lai nodrošinātu mērķa grupas personas mājokļa vides pielāgošanu;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ir tiesīgs veikt nepieciešamās darbības mērķa grupas personas mājokļa īpašnieka vārdā, lai nodrošinātu mērķa grupas mājokļu vides pielāgošanu;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noteikumu projekta 29.3.apakšpunktu. Piemēram, ierosinām konkretizēt veicamās darbības un noteikt, ka šādas darbības tiek veiktas ar īpašnieka piekrišanu vai saskaņojot tās ar īpašnieku vai uz īpašnieka izsniegtas pilnvaras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31.4. apakšpunkts (iepriekš 29.3. apakšpunkts), kā arī noteikumu projekta 16.1. apakšpunkts (iepriekš 15.1. apakšpunkts), anotācijas 1.3. sadaļa un noteikumu projekta 2., 3. un 4.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uz mājokļa īpašnieka pilnvaras pamata ir tiesīgs veikt nepieciešamās darbības, tai skaitā ierosināt būvniecību, lai nodrošinātu mērķa grupas personas mājokļa vides pielāgošanu;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Vadlīnijas kritēriju piemērošanai mērķa grupas personas un tās mājokļa atbilstības noteikšanai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 pielikumu un 4.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lūdzam 3. un 4.pielikumā zem katra kritērija tabulām redakcionāli precizēt, vai jābūt atbilstībai šī kritērija visiem apakškritērijiem vai vismaz vienam no apakškritērijiem.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1.kritērijam atbilstības nosacījuma redakcionālais precizējums būtu: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kritērijs. Pamatkritēriji mērķa grupas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no 18 līdz 63 gadu vecumam (ieskaitot) ar I vai II invaliditātes grupu, kurai  ir kustību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Atbilstību pārbauda pēc personu apliecinošajiem dokumentiem – pases vai personas apliecības jeb elektroniskās identifikācijas kartes.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Bērns ar invaliditāti no 15 līdz 17 gadu vecumam (ieskaitot), kuram ir kustību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 persona neatbilst 1.kritērija kadam no apakškritērijiem, tad tālāko atbilstības vērtēšanu neveic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 un 4.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Vadlīnijas kritēriju piemērošanai mērķa grupas personas un tās mājokļa atbilstības noteikšanai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Vadlīnijas kritēriju piemērošanai mērķa grupas personas un tās mājokļa atbilstības noteikšanai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lūdzam 3. un 4.pielikumā zem katra kritērija tabulām redakcionāli precizēt, vai jābūt atbilstībai šī kritērija visiem apakškritērijiem vai vismaz vienam no apakškritērijiem.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1.kritērijam atbilstības nosacījuma redakcionālais precizējums būtu: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kritērijs. Pamatkritēriji mērķa grupas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no 18 līdz 63 gadu vecumam (ieskaitot) ar I vai II invaliditātes grupu, kurai  ir kustību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Atbilstību pārbauda pēc personu apliecinošajiem dokumentiem – pases vai personas apliecības jeb elektroniskās identifikācijas kartes.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Bērns ar invaliditāti no 15 līdz 17 gadu vecumam (ieskaitot), kuram ir kustību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 neatbilst 1.kritērija kadam no apakškritērijiem, tad tālāko atbilstības vērtēšanu neveic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28.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Vadlīnijas kritēriju piemērošanai mērķa grupas personas un tās mājokļa atbilstības noteikšanai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Vadlīnijas kritēriju piemērošanai mērķa grupas personas un tās mājokļa atbilstības noteikšanai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informācijas dublēšanos, lūdzam no MK noteikumu 3.pielikuma 3.kritērijā izslēgt divas reizes ievietoto kritēriju pilngadīgām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Vadlīnijas kritēriju piemērošanai mērķa grupas personas un tās mājokļa atbilstības noteikšanai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vai tiešām šī pasākuma ietvaros var tik veikta mājokļu pielāgošana arī pašvaldības īpašumā esošajā sociālajā mājā.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anotācijas 1.3. sadaļa, ka mērķa grupas personas mājokļa pielāgošanu var veikt arī pašvaldības īpašumā esošajā sociālajā mājā.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Atveseļošanas un nourības mehānisma plāna 2202. rindkopa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"Nozaru ministrijas kā atbildīgās par ANM plāna komponenšu īstenošanu un mērķu un atskaites punktu sasniegšanu, nodrošina pilnu ANM plāna reformu īstenošanas procesa uzraudzību un kontroli, kā arī </w:t>
            </w:r>
            <w:r w:rsidR="00000000" w:rsidRPr="00000000" w:rsidDel="00000000">
              <w:rPr>
                <w:b w:val="1"/>
                <w:rtl w:val="0"/>
              </w:rPr>
              <w:t xml:space="preserve">apliecina sasniegtos mērķus un atskaites punktus.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 (turpmāk- CFLA) nodrošina projektu pārbaudes, uzraudzību un pamatojošo dokumentu pieejamību saskaņā ar Ministru kabineta noteikumiem Nr. 621., tomēr rādītāju sasniegšanu investīcijas/ reformas līmenī būtu jāapstiprina Nozares ministrijai, līdz ar to arī kopējā prakse ir tāda, ka Nozares ministrijas sagatavo kopsavilkumu par atskaites punktu un mērķa rādītāju sasniegšanu ziņošanai Eiropas Komisijai (Cover note).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informāciju anotācijā, paredzot, ka  kopsavilkuma par atskaites punktu un mērķu sasniegšanu (Cover note) sagatavo atbildīgā nozares ministrija, nevis CFLA.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3.1.2.1.i. investīcijas otrās kārtas ietvaros CFLA būs tā iestāde, kas slēgs vienošanos ar finansējuma saņēmējiem par projekta īstenošanu, kā arī veiks projektu uzraudzību (t.sk. gūs pārliecību par atskaites punktu izpildi un pamatojošās dokumentācijas ticamību). Līdz ar to, lai LM varētu sagatavot informāciju par sasniegto atskaites punktu (Cover Note), LM plāno balstīties uz CFLA pārbaudēs gūtajiem secinājumiem, t.sk. CFLA informāciju par sasniegto projektos. Tāpēc noteikumu projektā ir  paredzēts, ka CFLA veic informācijas apkopošanu/pamatojošās dokumentācijas kopsavilkuma sagatavošanai. Lai nodrošinātu vienotu pieeju finansējuma saņēmēju informācijas apkopošanai, LM tāpat noteikumu projektā ir paredzējusi sev pienākumu sagatavot un nosūtīt aģentūrai metodiskās norādes finansējuma saņēmējam par pārskata sagatavošanu šo noteikumu 7.1.2. apakšpunktā minētā atskaites punkta un šo noteikumu 7.2. apakšpunktā minētā mērķrādītāja sasniegšanas pamatošanai.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nodrošināt atbalstu viena mājokļa pielāgošanai personām ar invaliditāti, kurām ir kustību traucējumi, uzlabojot piekļuvi nodarbinātībai un pakalpojumiem un tādējādi sekmējot cilvēktiesības un dzīves kvalitāti.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ir noteikts mērķis nodrošināt mērķa grupas personu piekļuvi arī pakalpojumiem, tādējādi sekmējot cilvēktiesības un dzīves kvalitāti, svarīga arī personu piekļuve dažādiem citiem pakalpojumiem, ne tikai nodarbinātībai un sociālajiem pakalpojumiem, bet arī medicīniskajiem, rehabilitācijas un tamlīdzīgiem pakalpojumiem. 3.pielikumā vadlīniju 3.kritērijs un 4.pielikuma 3.kritērija 3.6.aktivitāte būtu papildināmi ar ārsta apmeklējumu un medicīnisko pakalpojumu saņemšanu ārstniecības iestādēs. Pieejamība medicīniskajiem pakalpojumiem ārstniecības iestādēs un iespēja tos personai saņemt ir būtisks priekšnoteikums, lai veicinātu personu ar invaliditāti sociālo iekļaušanos un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kā mērķa grupa ir noteiktas personas, kuras mācās, strādā vai nodarbojas ar brīvprātīgo darbu, ar paralimpisko sportu, ir bezdarbnieki, apmeklē dienas aprūpes centru specializētās darbnīcas, saņem “atelpas brīža” pakalpojumu vai aktīvi darbojas NVO, izņemot bērnus no 15-17 gadu vecumam. Tādējādi ir noteikts personu loks, kas saņem atbalstu. Savukārt, ja paplašinātu  mērķa grupas atlases kritērijus, iekļaujot medicīnisko vai rehabilitācijas  pakalpojumu apmeklējumus, tad pilnīgi visas personas ar kustību traucējumiem atbilstu šīm pazīmēm. Līdz ar to tas nav samērīgi, jo tiktu apgrūtināta mērķa grupas atlase, tai skaitā pieaugtu sociālo darbinieku, ergoterapeitu, un citu speciālistu noslodze, jo būtu jāizvērtē salīdzinoši vairāk iesniegumu un jāapseko mājokļi. Papildus tam, ierobežotā 3.1.2.1.i. investīcijas otrās kārtas pasākuma finansējuma dēļ, kas nav pietiekams visu mērķa grupas personu mājokļu pielāgojumu veikšanai, ir noteikti atlases kritēriji, lai piešķirtu atbalstu 259 mājokļu pielāgošanai visā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nodrošināt atbalstu mājokļu pielāgošanai personām ar invaliditāti, kurām ir kustību traucējumi, uzlabojot nodarbinātības iespējas un pieejamību pakalpojumiem, tādējādi sekmējot cilvēktiesības un dzīves kvalitāti.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nodrošināt atbalstu viena mājokļa pielāgošanai personām ar invaliditāti, kurām ir kustību traucējumi, uzlabojot piekļuvi nodarbinātībai un pakalpojumiem un tādējādi sekmējot cilvēktiesības un dzīves kvalitāti.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ir noteikts mērķis nodrošināt mērķa grupas personu piekļuvi arī pakalpojumiem, tādējādi sekmējot cilvēktiesības un dzīves kvalitāti, svarīga arī personu piekļuve dažādiem citiem pakalpojumiem, ne tikai nodarbinātībai un sociālajiem pakalpojumiem, bet arī medicīniskajiem, rehabilitācijas un tamlīdzīgiem pakalpojumiem. 3.pielikumā vadlīniju 3.kritērijs un 4.pielikuma 3.kritērija 3.6.aktivitāte būtu papildināmi ar ārsta apmeklējumu un medicīnisko pakalpojumu saņemšanu ārstniecības iestādēs. Pieejamība medicīniskajiem pakalpojumiem ārstniecības iestādēs un iespēja tos personai saņemt ir būtisks priekšnoteikums, lai veicinātu personu ar invaliditāti sociālo iekļaušanos un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32.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nodrošināt atbalstu mājokļu pielāgošanai personām ar invaliditāti, kurām ir kustību traucējumi, uzlabojot nodarbinātības iespējas un pieejamību pakalpojumiem, tādējādi sekmējot cilvēktiesības un dzīves kvalitāti.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nodrošināt atbalstu viena mājokļa pielāgošanai personām ar invaliditāti, kurām ir kustību traucējumi, uzlabojot piekļuvi nodarbinātībai un pakalpojumiem un tādējādi sekmējot cilvēktiesības un dzīves kvalitāti.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noteikumu projekta 2. punktu , lai nerastos interpretācijas iespējas un būtu nepārprotami skaidrs, ka personai </w:t>
            </w:r>
            <w:r w:rsidR="00000000" w:rsidRPr="00000000" w:rsidDel="00000000">
              <w:rPr>
                <w:rtl w:val="0"/>
              </w:rPr>
              <w:t xml:space="preserve">projekta ietvaros pielāgo tikai vienu mājokli, nevis, ka visa projekta mērķis ir pielāgot vienu mājokli.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nodrošināt atbalstu mājokļu pielāgošanai personām ar invaliditāti, kurām ir kustību traucējumi, uzlabojot nodarbinātības iespējas un pieejamību pakalpojumiem, tādējādi sekmējot cilvēktiesības un dzīves kvalitāti.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mērķa grupa ir pilngadīgas personas līdz 63 gadu vecumam (ieskaitot) ar I vai II invaliditātes grupu, kurām ir kustību traucējumi, kā arī bērni ar invaliditāti no 15 līdz 17 gadu vecumam (ieskaitot), kuriem ir kustību traucējumi (turpmāk – mērķa grupas 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mērķa grupai, pilngadīgām personām līdz 63 gadu vecumam ar I un II invaliditātes grupu, kurām ir kustību traucējumi un noteiktais diagnozes kods, būs piemēoti vēl kādi  papildus kritēriji, lai piedalītos projektā. Piemēram personai ir jābūt nodarbinātai, jāapmeklē mācību iestāde vai kaut kas cits, ņemot vērā mērķi nodrošināt šīm personām iekļaušanos sabiedrībā, nodarbinātībā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mērķa grupas personu atlasei tiks piemēroti noteikumu projekta 3. pielikumā noteiktie kritēriji. Papildināta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mērķa grupa ir uz šo noteikumu </w:t>
            </w:r>
            <w:r w:rsidR="00000000" w:rsidRPr="00000000" w:rsidDel="00000000">
              <w:rPr>
                <w:rtl w:val="0"/>
              </w:rPr>
              <w:t xml:space="preserve">16.6. </w:t>
            </w:r>
            <w:r w:rsidR="00000000" w:rsidRPr="00000000" w:rsidDel="00000000">
              <w:rPr>
                <w:rtl w:val="0"/>
              </w:rPr>
              <w:t xml:space="preserve">apakšpunktā</w:t>
            </w:r>
            <w:r w:rsidR="00000000" w:rsidRPr="00000000" w:rsidDel="00000000">
              <w:rPr>
                <w:rtl w:val="0"/>
              </w:rPr>
              <w:t xml:space="preserve"> minētā lēmuma pieņemšanas brīdi pilngadīgas personas līdz 63 gadu vecumam (ieskaitot) ar I vai II invaliditātes grupu, kurām ir kustību traucējumi, kā arī bērni ar invaliditāti no 15 līdz 17 gadu vecumam (ieskaitot), kuriem ir kustību traucējumi (turpmāk – mērķa grupas persona).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Pasākums īsteno reformu 3.1.2.r. “Sociālo un nodarbinātības pakalpojumu pieejamība minimālo ienākumu reformas atbalstam”, kuras mērķis ir nodrošināt augstam sociālās atstumtības riskam pakļautajiem iedzīvotājiem, kuriem ir ierobežoti finanšu resursi, pieeju būtiski nepieciešamiem sociālajiem un nodarbinātības pakalpojumiem.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5. punktu ar vārdu “izglītības”.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“5.Pasākums īsteno reformu 3.1.2.r. “Sociālo un nodarbinātības pakalpojumu pieejamība minimālo ienākumu reformas atbalstam”, kuras mērķis ir nodrošināt augstam sociālās atstumtības riskam pakļautajiem iedzīvotājiem, kuriem ir ierobežoti finanšu resursi, pieeju būtiski nepieciešamiem sociālajiem, nodarbinātības un </w:t>
            </w:r>
            <w:r w:rsidR="00000000" w:rsidRPr="00000000" w:rsidDel="00000000">
              <w:rPr>
                <w:b w:val="1"/>
                <w:rtl w:val="0"/>
              </w:rPr>
              <w:t xml:space="preserve">izglītības </w:t>
            </w:r>
            <w:r w:rsidR="00000000" w:rsidRPr="00000000" w:rsidDel="00000000">
              <w:rPr>
                <w:rtl w:val="0"/>
              </w:rPr>
              <w:t xml:space="preserve">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3.1.2.1.i. investīcijas otrās kārtas pasākuma mērķis, kas izriet no AF plāna reformas 3.1.2.r. apraksta, ir saistīts ar vides pieejamības uzlabošanu sociālajiem un nodarbinātības pakalpojumiem. Līdz ar to LM nevar iekļaut noteikumu projekta 5. punktā izglītības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Pasākums īsteno reformu 3.1.2.r. “Sociālo un nodarbinātības pakalpojumu pieejamība minimālo ienākumu reformas atbalstam”, kuras mērķis ir nodrošināt augstam sociālās atstumtības riskam pakļautajiem iedzīvotājiem, kuriem ir ierobežoti finanšu resursi, pieeju būtiski nepieciešamiem sociālajiem un nodarbinātības pakalpojumiem.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līdz 2022. gada 30. septembrim – konkrētas mērķa grupas izvēle mājokļa vides pieejamības uzlabošanai;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atskaites punkta nosaukumu atbilstoši Eiropas Padomes 2021.gada 6.jūlija lēmuma par Latvijas Atveseļošanas fonda plāna izvērtējuma apstiprināšanu (turpmāk - CID) pielikumam un Atveseļošanas fonda plāna darbības kārtībai, par kuru vienojas Eiropas Komisija un Latvija (turpmāk- DK): “Konkrētas mērķgrupas izvēle mājokļa fiziskās pieejamības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līdz 2022. gada 30. septembrim – konkrētas mērķa grupas izvēle mājokļa </w:t>
            </w:r>
            <w:r w:rsidR="00000000" w:rsidRPr="00000000" w:rsidDel="00000000">
              <w:rPr>
                <w:b w:val="1"/>
                <w:rtl w:val="0"/>
              </w:rPr>
              <w:t xml:space="preserve">fiziskās </w:t>
            </w:r>
            <w:r w:rsidR="00000000" w:rsidRPr="00000000" w:rsidDel="00000000">
              <w:rPr>
                <w:rtl w:val="0"/>
              </w:rPr>
              <w:t xml:space="preserve">pieejamības uzlabošanai;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7.1.1.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 ņemot vērā, ka ir saņemts pozitīvs Eiropas Komisijas viedoklis par LM virzītajiem AF plāna grozījumu priekšlikumiem (t.sk. 3.1.2.1.i. investīcijas otrās kārtas pasākuma atskaites punktu un mērķrādītāja termiņu pagarinājumu), noteikumu projektā tiek precizēti nosacījumi attiecībā uz noteiktā atskaites punkta īstenošanas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līdz 2022. gada 30. septembrim – konkrētas mērķa grupas izvēle mājokļa fiziskās pieejamības uzlabošanai;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līdz 2023. gada 30. septembrim – būvdarbu līgumu noslēgšana, lai personām ar invaliditāti pielāgotu mājokļus;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termiņu pagarināt vismaz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7.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līdz 2023. gada 30. septembrim – darba līgumu noslēgšana, lai personām ar invaliditāti pielāgotu mājokļus;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līdz 2023. gada 30. septembrim – būvdarbu līgumu noslēgšana, lai personām ar invaliditāti pielāgotu mājokļus;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aktivitāte bija “iesaldēta” uz nenoteiktu laiku un konkrētāka informācija līdz pašvaldībām nonāca tikai šā gada aprīlī, būtu jāpagarina minētais termiņš būvdarbu līgumu noslēgšanai. Ekspertu piesaiste par konkrētu mājokļu pielāgošanu, tehniskās dokumentācijas izstrāde var aizņemt ne mazāk kā 4-5 mēneši. Papildus jārēķinās ar Būvdarbu iepirkuma procedūru, kas var aizņemt līdz 3 mēnešiem atklātā konkursa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Būvprojekta izstrādi kā projekta aktivitāti projekta iesniegumā pēc līguma ar Vadošo iestādi noslēgšanas, nenosakot būvdarbu līguma noslēgšanas termiņus, paredzot projekta īstenošanas grafikā loģisku termiņu visām aktivitātēm ar nosacījumu, ka visām aktivitātēm jābūt pabeigtām līdz 2024.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projektu izvērtēšanai pašvaldības veic nepieciešamās iepirkumu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nevaram iekļaut būvprojekta izstrādi kā projekta aktivitāti projekta iesniegumā pēc līguma noslēgšanas, nenosakot būvdarbu līguma noslēgšanas termiņus, jo šis ir noteikts AF plānā un Eiropas Padomes īstenošanas lēmuma (turpmāk – CID) pielikumā kā viens no atskaites 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līdz 2023. gada 30. septembrim – darba līgumu noslēgšana, lai personām ar invaliditāti pielāgotu mājokļus;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līdz 2023. gada 30. septembrim – būvdarbu līgumu noslēgšana, lai personām ar invaliditāti pielāgotu mājokļus;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atskaites punkta nosaukumu atbilstoši CID pielikumam un DK: “Darba līgumu noslēgšana, lai personām ar invaliditāti pielāgotu mājokļus”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līdz 2023. gada 30. septembrim – </w:t>
            </w:r>
            <w:r w:rsidR="00000000" w:rsidRPr="00000000" w:rsidDel="00000000">
              <w:rPr>
                <w:b w:val="1"/>
                <w:rtl w:val="0"/>
              </w:rPr>
              <w:t xml:space="preserve">Darba </w:t>
            </w:r>
            <w:r w:rsidR="00000000" w:rsidRPr="00000000" w:rsidDel="00000000">
              <w:rPr>
                <w:rtl w:val="0"/>
              </w:rPr>
              <w:t xml:space="preserve">līgumu noslēgšana, lai personām ar invaliditāti pielāgotu mājokļus;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7.1.2. apakšpunktā ietvertā atskaites punkta definīcija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līdz 2023. gada 30. septembrim – darba līgumu noslēgšana, lai personām ar invaliditāti pielāgotu mājokļus;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mērķrādītājs – līdz 2024. gada 31. decembrim – nodrošināta pieejamība mājokļa videi personām ar invaliditāti.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 noteikumu projekta sadaļas Noslēguma jautājumi un anotācijas izrietošo informāciju, lūdzam precizēt apakšpunkta redakciju, norādot precīzu personu skaitu, kurām nodrošināta pieejamība mājokļa videi, kā tas bija iepriekšējā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7. punkts ir veidots pēc šobrīd AF plānā un CID pielikumā noteiktās redakcijas, līdz ar to nevaram veikt precizējumus 7.2. apakšpunktā norādītājā mērķrādītājā. Pēc pozitīva Eiropas Komisija lēmuma par Atveseļošanas fonda plāna grozījumu priekšlikumiem, tiks precizēti noteikumu projekta 7. punktā noteikto atskaites punktu un mērķrādītāja termiņi un to 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mērķrādītājs – līdz 2024. gada 31. decembrim – nodrošināta pieejamība mājokļa videi personām ar invaliditāti.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mērķrādītājs – līdz 2024. gada 31. decembrim – nodrošināta pieejamība mājokļa videi 259 personām ar invaliditāti.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mērķrādītāja nosaukumu atbilstoši CID pielikumam un DK: “Nodrošināta pieejamība mājokļa videi personām ar invaliditāti”.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mērķrādītājs – līdz 2024. gada 31. decembrim – nodrošināta pieejamība mājokļa videi personām ar invaliditāti </w:t>
            </w:r>
            <w:r w:rsidR="00000000" w:rsidRPr="00000000" w:rsidDel="00000000">
              <w:rPr>
                <w:b w:val="1"/>
                <w:rtl w:val="0"/>
              </w:rPr>
              <w:t xml:space="preserve">– 259</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7.2. apakšpunktā mērķrādītāja definīcija atbilstoši šobrīd AF plānā un CID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mērķrādītājs – līdz 2024. gada 31. decembrim – nodrošināta pieejamība mājokļa videi personām ar invaliditāti.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projekta iesniedzēja sagatavots anonimizēts atbalsta saņēmēju saraksts un lēmuma par personas iekļaušanu mērķa grupas sarakstā kopija;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šobrīd, atbilstoši CID un DK aprakstam, plānots, ka Labklājības ministrija pieņem sarakstu ar 259 personām, kas saņems atbalstu, un par šo ir ierosināti grozījumi, kas vēl nav apstiprināti.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8.1.1. apakšpunkta redakcija precizēta pamatojoties uz Eiropas Komisijai iesniegtajiem AF plāna un CID pielikuma grozījumiem, kuros mērķrādītāja aprakstā vārdi “Labklājības ministrija pieņem sarakstu” ir aizstāti ar vārdiem “pašvaldības sagatavos sarakstu”, jo mērķa grupas, kurai nodrošināma mājokļa piekļūstamība, atlasi veiks pašvaldības.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finansējuma saņēmēja sagatavots anonimizēts atbalsta saņēmēju saraksts un lēmuma par personas iekļaušanu mērķa grupas sarakstā kopija;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šo noteikumu 7.1.2. apakšpunktā minētā atskaites punkta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8.2.1. un 8.3.1. apakšpunktā un noteikumu projekta anotācijā nav nepieciešami precizējumi, ņemot vērā, ka vides pielāgojumi mājoklī var tikt veikti arī īstenojot šo noteikumu projekta 19.4. apakšpunktā noteiktās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8.2.1. un 8.3.1. apakšpunkts pamatojoties uz Eiropas Komisijai iesniegtajiem AF plāna un CID pielikuma grozījumiem.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šo noteikumu </w:t>
            </w:r>
            <w:r w:rsidR="00000000" w:rsidRPr="00000000" w:rsidDel="00000000">
              <w:rPr>
                <w:rtl w:val="0"/>
              </w:rPr>
              <w:t xml:space="preserve">7.1.2. </w:t>
            </w:r>
            <w:r w:rsidR="00000000" w:rsidRPr="00000000" w:rsidDel="00000000">
              <w:rPr>
                <w:rtl w:val="0"/>
              </w:rPr>
              <w:t xml:space="preserve">apakšpunktā</w:t>
            </w:r>
            <w:r w:rsidR="00000000" w:rsidRPr="00000000" w:rsidDel="00000000">
              <w:rPr>
                <w:rtl w:val="0"/>
              </w:rPr>
              <w:t xml:space="preserve"> minētā atskaites punkta sasniegšanai: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 finansējuma saņēmēja sagatavots pārskats, kurā ietverta informācija par plānotajiem mājokļu vides pielāgošanas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viennozīmīgai izpratnei precizēt, vai ziņas jāsniedz atsevišķi par katru pielāgojamo mājokli.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 sadaļa, ka informācija ir jāsniedz par katru no pielāgotajiem mājokļiem, bet tā var būt iekļauta vienā pārskatā par visiem pašvaldības kvotā ietilpstošajiem mājokļiem.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 finansējuma saņēmēja sagatavots pārskats, kurā ietverta informācija par plānotajiem mājokļu vides pielāgošanas pasākumiem;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 finansējuma saņēmēja sagatavots pārskats par mājokļos nodrošinātajiem vides pielāgojumiem.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nepieciešamie mājokļu vides pielāgojumi saskaņā ar noteikumu projekta 16.4. apakšpunktu tiks noteikti, pamatojoties uz ergoterapeita sniegto atzinumu, sniedzam priekšlikumu papildināt 8.3.2. apakšpunkta redakciju, norādot, ka mājokļos veiktie vides pielāgošanas pasākumi tiek noteikti atbilstoši noteikumu projekta 16.4. apakšpunktā norādītajam ergoterapeita atzinumam. Gadījumā, ja priekšlikums netiek ņemts vērā, aicinām papildināt noteikumu anotāciju ar skaidrojumu par to, kādā veida kritērijiem ir jābūt izpildītiem, lai tiktu gūta pārliecība, ka, īstenojot projektu darbības faktiski tiks sasniegt mērķrādītājs un nodrošināta pieejamība videi personām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sagatavots pārskats par mājokļos nodrošinātajiem vides pielāgojumiem, kas veikti atbilstoši uz šo noteikumu 16.4. apakšpunktā norādītajam atzinumam.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1.2. sadaļa. Papildus skaidrojam, ka informācija par kritērijiem, kuru izpilde apliecinātu par mērķrādītāja sasniegšanu, tiks ietverta arī noteikumu projekta 35.2. apakšpunkta minētajās norādēs.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 finansējuma saņēmēja sagatavots pārskats par mājokļos nodrošinātajiem vides pielāgojumiem.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 finansējuma saņēmēja sagatavots pārskats par mājokļos nodrošinātajiem vides pielāgojumiem minimālo vides pieejamības prasību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 iekļautais regulējums par "minimālo vides pieejamības prasību nodrošināšanu"var būt plaši interpretējams, priekšlikums to papildināt ņemot vērā noteikumu 16.4. apakšpunktu, papildus atrunājot, ka minimālās vides pieejamības prasības ir tādas prasības (pielāgojumi), kuras noteiktas atbilstoši ergoterapeita konsultācijai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sagatavots pārskats par mājokļos nodrošinātajiem vides pielāgojumiem minimālo vides pieejamības prasību nodrošināšanai. Minimālās vides pieejamības prasības ir tādas prasības (pielāgojumi), kuras noteiktas atbilstoši ergoterapeita konsultācijai.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8.3.2. apakšpunkts, svītrojot vārdus “minimālo vides pieejamības prasību nodrošināšanu” un papildināta noteikumu projekta anotācija, skaidrojot, ka vienotas vides pieejamības prasības ir noteiktas tikai publiskajām būvēm (normatīvo aktu līmenī tās ir ietvertas Būvniecības likumā un Ministru kabineta 2021. gada 19. oktobra noteikumos Nr. 693 “Būvju vispārīgo prasību būvnormatīvs LBN 200-21”). Attiecībā uz privātajiem mājokļiem šādas minimālās vides piekļūstamības prasības nav noteiktas un arī nav plānots tādas noteikt. Tāpēc 3.1.2.1.i. investīcijas otrās kārtas ietvaros nepieciešamos pielāgojumus konkrētās mērķa grupas personas mājoklī plānots noteikt, salāgojot personas vajadzības, ko nosaka ergoterapeits un, ja nepieciešams, būvspeciālists, kontekstā ar tehniskām iespējām veikt konkrētos pielāgojumus (t.sk. gan ņemot vērā ēkas tehnisko stāvokli un darbu apjomu pielāgojumu veikšanai iespējas, gan pieejamo finansējumu – vidēji 18 299 euro vienam mājoklim). Vienlaikus mājokļu vides pielāgojumu izvēlē tiks ņemti vērā tādi risinājumi, kas atbilst vides piekļūstamības principam pēc būtības, Būvniecības likumā noteiktajam vides pieejamības principam, kā arī Būvju vispārīgo prasību būvnormatīvā LBN 200-21 noteiktajam universālā dizaina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 finansējuma saņēmēja sagatavots pārskats par mājokļos nodrošinātajiem vides pielāgojumiem.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Atveseļošanas fonda finansējums ir 3 400 000 </w:t>
            </w:r>
            <w:r w:rsidR="00000000" w:rsidRPr="00000000" w:rsidDel="00000000">
              <w:rPr>
                <w:i w:val="1"/>
                <w:rtl w:val="0"/>
              </w:rPr>
              <w:t xml:space="preserve">euro</w:t>
            </w:r>
            <w:r w:rsidR="00000000" w:rsidRPr="00000000" w:rsidDel="00000000">
              <w:rPr>
                <w:rtl w:val="0"/>
              </w:rPr>
              <w:t xml:space="preserve"> un pēc Eiropas Komisijas lēmuma par papildu Atveseļošanas fonda finansējuma pieejamību pasākuma Atveseļošanas fonda finansējums ir 4 739 441</w:t>
            </w:r>
            <w:r w:rsidR="00000000" w:rsidRPr="00000000" w:rsidDel="00000000">
              <w:rPr>
                <w:i w:val="1"/>
                <w:rtl w:val="0"/>
              </w:rPr>
              <w:t xml:space="preserve"> euro</w:t>
            </w:r>
            <w:r w:rsidR="00000000" w:rsidRPr="00000000" w:rsidDel="00000000">
              <w:rPr>
                <w:rtl w:val="0"/>
              </w:rPr>
              <w:t xml:space="preserve">. Papildus pasākuma finansējumu veido valsts budžeta finansējums pievienotās vērtības nodokļa segšanai indikatīvi 995 283 </w:t>
            </w:r>
            <w:r w:rsidR="00000000" w:rsidRPr="00000000" w:rsidDel="00000000">
              <w:rPr>
                <w:i w:val="1"/>
                <w:rtl w:val="0"/>
              </w:rPr>
              <w:t xml:space="preserve">euro</w:t>
            </w:r>
            <w:r w:rsidR="00000000" w:rsidRPr="00000000" w:rsidDel="00000000">
              <w:rPr>
                <w:rtl w:val="0"/>
              </w:rPr>
              <w:t xml:space="preserve">, kā arī pašvaldības budžeta finansējums un privātais finansējums gadījumos, ja projekta izmaksas pārsniedz pieejamo Atveseļošanas fonda finansējumu. Pēc pozitīva Eiropas Komisijas viedokļa par Atveseļošanas un noturības mehānisma fonda plāna grozījumiem saņemšanas un līdz Eiropas Komisijas lēmumam par Atveseļošanas fonda finansējuma pieejamību  finansējumu 1 339 441 </w:t>
            </w:r>
            <w:r w:rsidR="00000000" w:rsidRPr="00000000" w:rsidDel="00000000">
              <w:rPr>
                <w:i w:val="1"/>
                <w:rtl w:val="0"/>
              </w:rPr>
              <w:t xml:space="preserve">euro</w:t>
            </w:r>
            <w:r w:rsidR="00000000" w:rsidRPr="00000000" w:rsidDel="00000000">
              <w:rPr>
                <w:rtl w:val="0"/>
              </w:rPr>
              <w:t xml:space="preserve"> apmērā sedz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10.punkta pēdējā teikumā vārdus "un noturības mehānisma", ņemot vērā iepriekš atrunāto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Atveseļošanas fonda finansējums ir 3 400 000 </w:t>
            </w:r>
            <w:r w:rsidR="00000000" w:rsidRPr="00000000" w:rsidDel="00000000">
              <w:rPr>
                <w:i w:val="1"/>
                <w:rtl w:val="0"/>
              </w:rPr>
              <w:t xml:space="preserve">euro</w:t>
            </w:r>
            <w:r w:rsidR="00000000" w:rsidRPr="00000000" w:rsidDel="00000000">
              <w:rPr>
                <w:rtl w:val="0"/>
              </w:rPr>
              <w:t xml:space="preserve"> un pēc Eiropas Komisijas lēmuma par papildu Atveseļošanas fonda finansējuma pieejamību pasākuma Atveseļošanas fonda finansējums ir 4 739 441</w:t>
            </w:r>
            <w:r w:rsidR="00000000" w:rsidRPr="00000000" w:rsidDel="00000000">
              <w:rPr>
                <w:i w:val="1"/>
                <w:rtl w:val="0"/>
              </w:rPr>
              <w:t xml:space="preserve"> euro</w:t>
            </w:r>
            <w:r w:rsidR="00000000" w:rsidRPr="00000000" w:rsidDel="00000000">
              <w:rPr>
                <w:rtl w:val="0"/>
              </w:rPr>
              <w:t xml:space="preserve">. Papildus pasākuma finansējumu veido valsts budžeta finansējums pievienotās vērtības nodokļa segšanai indikatīvi 995 283 </w:t>
            </w:r>
            <w:r w:rsidR="00000000" w:rsidRPr="00000000" w:rsidDel="00000000">
              <w:rPr>
                <w:i w:val="1"/>
                <w:rtl w:val="0"/>
              </w:rPr>
              <w:t xml:space="preserve">euro</w:t>
            </w:r>
            <w:r w:rsidR="00000000" w:rsidRPr="00000000" w:rsidDel="00000000">
              <w:rPr>
                <w:rtl w:val="0"/>
              </w:rPr>
              <w:t xml:space="preserve">, kā arī pašvaldības budžeta finansējums un privātais finansējums gadījumos, ja projekta izmaksas pārsniedz pieejamo Atveseļošanas fonda finansējumu. Pēc pozitīva Eiropas Komisijas viedokļa par Atveseļošanas fonda plāna grozījumiem saņemšanas un līdz Eiropas Komisijas lēmumam par Atveseļošanas fonda finansējuma pieejamību  finansējumu 1 339 441 </w:t>
            </w:r>
            <w:r w:rsidR="00000000" w:rsidRPr="00000000" w:rsidDel="00000000">
              <w:rPr>
                <w:i w:val="1"/>
                <w:rtl w:val="0"/>
              </w:rPr>
              <w:t xml:space="preserve">euro</w:t>
            </w:r>
            <w:r w:rsidR="00000000" w:rsidRPr="00000000" w:rsidDel="00000000">
              <w:rPr>
                <w:rtl w:val="0"/>
              </w:rPr>
              <w:t xml:space="preserve"> apmērā sedz no valsts budžeta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Atveseļošanas fonda finansējums ir 3 400 000 </w:t>
            </w:r>
            <w:r w:rsidR="00000000" w:rsidRPr="00000000" w:rsidDel="00000000">
              <w:rPr>
                <w:i w:val="1"/>
                <w:rtl w:val="0"/>
              </w:rPr>
              <w:t xml:space="preserve">euro</w:t>
            </w:r>
            <w:r w:rsidR="00000000" w:rsidRPr="00000000" w:rsidDel="00000000">
              <w:rPr>
                <w:rtl w:val="0"/>
              </w:rPr>
              <w:t xml:space="preserve"> un pēc Eiropas Komisijas lēmuma par papildu Atveseļošanas fonda finansējuma pieejamību pasākuma Atveseļošanas fonda finansējums ir 4 739 441</w:t>
            </w:r>
            <w:r w:rsidR="00000000" w:rsidRPr="00000000" w:rsidDel="00000000">
              <w:rPr>
                <w:i w:val="1"/>
                <w:rtl w:val="0"/>
              </w:rPr>
              <w:t xml:space="preserve"> euro</w:t>
            </w:r>
            <w:r w:rsidR="00000000" w:rsidRPr="00000000" w:rsidDel="00000000">
              <w:rPr>
                <w:rtl w:val="0"/>
              </w:rPr>
              <w:t xml:space="preserve">. Papildus pasākuma finansējumu veido valsts budžeta finansējums pievienotās vērtības nodokļa segšanai indikatīvi 995 283 </w:t>
            </w:r>
            <w:r w:rsidR="00000000" w:rsidRPr="00000000" w:rsidDel="00000000">
              <w:rPr>
                <w:i w:val="1"/>
                <w:rtl w:val="0"/>
              </w:rPr>
              <w:t xml:space="preserve">euro</w:t>
            </w:r>
            <w:r w:rsidR="00000000" w:rsidRPr="00000000" w:rsidDel="00000000">
              <w:rPr>
                <w:rtl w:val="0"/>
              </w:rPr>
              <w:t xml:space="preserve">, kā arī pašvaldības budžeta finansējums un privātais finansējums gadījumos, ja projekta izmaksas pārsniedz pieejamo Atveseļošanas fonda finansējumu. Pēc pozitīva Eiropas Komisijas viedokļa par Atveseļošanas un noturības mehānisma fonda plāna grozījumiem saņemšanas un līdz Eiropas Komisijas lēmumam par Atveseļošanas fonda finansējuma pieejamību  finansējumu 1 339 441 </w:t>
            </w:r>
            <w:r w:rsidR="00000000" w:rsidRPr="00000000" w:rsidDel="00000000">
              <w:rPr>
                <w:i w:val="1"/>
                <w:rtl w:val="0"/>
              </w:rPr>
              <w:t xml:space="preserve">euro</w:t>
            </w:r>
            <w:r w:rsidR="00000000" w:rsidRPr="00000000" w:rsidDel="00000000">
              <w:rPr>
                <w:rtl w:val="0"/>
              </w:rPr>
              <w:t xml:space="preserve"> apmērā sedz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izdalīt no noteikumu projekta 10. punkta otro un trešo teikumu ņemot vērā, ka šajos teikumos tiek runāts par papildus finansējumu pasākumam, kas nav Atveseļošanas un noturības mehānisma fonda līdzekļi.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noteikumu projekta punktā vienkopus ir noteikti finansēšanas avoti 3.1.2.1.i. investīcijas otrās kārtas pasākuma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Atveseļošanas fonda finansējums ir 3 400 000 </w:t>
            </w:r>
            <w:r w:rsidR="00000000" w:rsidRPr="00000000" w:rsidDel="00000000">
              <w:rPr>
                <w:i w:val="1"/>
                <w:rtl w:val="0"/>
              </w:rPr>
              <w:t xml:space="preserve">euro</w:t>
            </w:r>
            <w:r w:rsidR="00000000" w:rsidRPr="00000000" w:rsidDel="00000000">
              <w:rPr>
                <w:rtl w:val="0"/>
              </w:rPr>
              <w:t xml:space="preserve"> un pēc Eiropas Komisijas lēmuma par papildu Atveseļošanas fonda finansējuma pieejamību pasākuma Atveseļošanas fonda finansējums ir 4 739 441</w:t>
            </w:r>
            <w:r w:rsidR="00000000" w:rsidRPr="00000000" w:rsidDel="00000000">
              <w:rPr>
                <w:i w:val="1"/>
                <w:rtl w:val="0"/>
              </w:rPr>
              <w:t xml:space="preserve"> euro</w:t>
            </w:r>
            <w:r w:rsidR="00000000" w:rsidRPr="00000000" w:rsidDel="00000000">
              <w:rPr>
                <w:rtl w:val="0"/>
              </w:rPr>
              <w:t xml:space="preserve">. Papildus pasākuma finansējumu veido valsts budžeta finansējums pievienotās vērtības nodokļa segšanai indikatīvi 995 283 </w:t>
            </w:r>
            <w:r w:rsidR="00000000" w:rsidRPr="00000000" w:rsidDel="00000000">
              <w:rPr>
                <w:i w:val="1"/>
                <w:rtl w:val="0"/>
              </w:rPr>
              <w:t xml:space="preserve">euro</w:t>
            </w:r>
            <w:r w:rsidR="00000000" w:rsidRPr="00000000" w:rsidDel="00000000">
              <w:rPr>
                <w:rtl w:val="0"/>
              </w:rPr>
              <w:t xml:space="preserve">, kā arī pašvaldības budžeta finansējums un privātais finansējums gadījumos, ja projekta izmaksas pārsniedz pieejamo Atveseļošanas fonda finansējumu. Pēc pozitīva Eiropas Komisijas viedokļa par Atveseļošanas fonda plāna grozījumiem saņemšanas un līdz Eiropas Komisijas lēmumam par Atveseļošanas fonda finansējuma pieejamību  finansējumu 1 339 441 </w:t>
            </w:r>
            <w:r w:rsidR="00000000" w:rsidRPr="00000000" w:rsidDel="00000000">
              <w:rPr>
                <w:i w:val="1"/>
                <w:rtl w:val="0"/>
              </w:rPr>
              <w:t xml:space="preserve">euro</w:t>
            </w:r>
            <w:r w:rsidR="00000000" w:rsidRPr="00000000" w:rsidDel="00000000">
              <w:rPr>
                <w:rtl w:val="0"/>
              </w:rPr>
              <w:t xml:space="preserve"> apmērā sedz no valsts budžeta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19. punktā noteikto atbalstāmo darbību īstenošanai viena mājokļa vides piekļūstamības nodrošināšanas izmaksas indikatīvi nepārsniedz 18 299 </w:t>
            </w:r>
            <w:r w:rsidR="00000000" w:rsidRPr="00000000" w:rsidDel="00000000">
              <w:rPr>
                <w:i w:val="1"/>
                <w:rtl w:val="0"/>
              </w:rPr>
              <w:t xml:space="preserve">euro</w:t>
            </w:r>
            <w:r w:rsidR="00000000" w:rsidRPr="00000000" w:rsidDel="00000000">
              <w:rPr>
                <w:rtl w:val="0"/>
              </w:rPr>
              <w:t xml:space="preserve">, neieskaitot pievienotās vērtības nodokļa izmaksas. Projekta iesniedzējs var pārdalīt kopējo Atveseļošanas fonda finansējumu starp mājokļiem, atkāpjoties no Atveseļošanas fonda finansējuma apmēra vienam mājoklim, bet nepārsniedzot kopējo projekta iesniedzējam pieejamo Atveseļošanas fonda finansējuma kopsummu un nemainot projektā paredzēto mērķa grupas personu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vārdu "indikatīvi", lai nerastos interpretācijas iespējas un izmaksas tomēr varētu būt lielākas.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noteikto atbalstāmo darbību īstenošanai viena mājokļa vides pieejamības nodrošināšanas vidējās izmaksas nepārsniedz 18 299 </w:t>
            </w:r>
            <w:r w:rsidR="00000000" w:rsidRPr="00000000" w:rsidDel="00000000">
              <w:rPr>
                <w:i w:val="1"/>
                <w:rtl w:val="0"/>
              </w:rPr>
              <w:t xml:space="preserve">euro</w:t>
            </w:r>
            <w:r w:rsidR="00000000" w:rsidRPr="00000000" w:rsidDel="00000000">
              <w:rPr>
                <w:rtl w:val="0"/>
              </w:rPr>
              <w:t xml:space="preserve">, neieskaitot pievienotās vērtības nodokļa izmaksas. Projekta iesniedzējs var pārdalīt kopējo Atveseļošanas fonda finansējumu starp mājokļiem, atkāpjoties no Atveseļošanas fonda finansējuma apmēra vienam mājoklim, bet nepārsniedzot kopējo projekta iesniedzējam pieejamo Atveseļošanas fonda finansējuma kopsummu un nemainot projektā paredzēto mērķa grupas personu skaitu.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19. punktā noteikto atbalstāmo darbību īstenošanai viena mājokļa vides piekļūstamības nodrošināšanas izmaksas indikatīvi nepārsniedz 18 299 </w:t>
            </w:r>
            <w:r w:rsidR="00000000" w:rsidRPr="00000000" w:rsidDel="00000000">
              <w:rPr>
                <w:i w:val="1"/>
                <w:rtl w:val="0"/>
              </w:rPr>
              <w:t xml:space="preserve">euro</w:t>
            </w:r>
            <w:r w:rsidR="00000000" w:rsidRPr="00000000" w:rsidDel="00000000">
              <w:rPr>
                <w:rtl w:val="0"/>
              </w:rPr>
              <w:t xml:space="preserve">, neieskaitot pievienotās vērtības nodokļa izmaksas. Projekta iesniedzējs var pārdalīt kopējo Atveseļošanas fonda finansējumu starp mājokļiem, atkāpjoties no Atveseļošanas fonda finansējuma apmēra vienam mājoklim, bet nepārsniedzot kopējo projekta iesniedzējam pieejamo Atveseļošanas fonda finansējuma kopsummu un nemainot projektā paredzēto mērķa grupas personu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nolūkos lūdzam svītrot vārdu "indikatīvi".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46.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noteikto atbalstāmo darbību īstenošanai viena mājokļa vides pieejamības nodrošināšanas vidējās izmaksas nepārsniedz 18 299 </w:t>
            </w:r>
            <w:r w:rsidR="00000000" w:rsidRPr="00000000" w:rsidDel="00000000">
              <w:rPr>
                <w:i w:val="1"/>
                <w:rtl w:val="0"/>
              </w:rPr>
              <w:t xml:space="preserve">euro</w:t>
            </w:r>
            <w:r w:rsidR="00000000" w:rsidRPr="00000000" w:rsidDel="00000000">
              <w:rPr>
                <w:rtl w:val="0"/>
              </w:rPr>
              <w:t xml:space="preserve">, neieskaitot pievienotās vērtības nodokļa izmaksas. Projekta iesniedzējs var pārdalīt kopējo Atveseļošanas fonda finansējumu starp mājokļiem, atkāpjoties no Atveseļošanas fonda finansējuma apmēra vienam mājoklim, bet nepārsniedzot kopējo projekta iesniedzējam pieejamo Atveseļošanas fonda finansējuma kopsummu un nemainot projektā paredzēto mērķa grupas personu skaitu.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Mērķa grupas personu atlasi dalībai pasākumā nodrošina pašvaldības sociālais dienests. Ja nepieciešams, pašvaldības sociālais dienests informēšanas un sazināšanās nolūkos pieprasa Veselības un darbspēju ārstu valsts komisijai mērķa grupas personu kontaktinformāciju un ziņas par deklarēto dzīvesvietu.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15.punktā noteikto un skaidrot, no kura brīža sociālajam dienestam būs tiesības un uz kāda pamata prasīt informāciju par potenciālajiem mērķa grupas klientiem no VDEĀK?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par informācijas pieprasīšanas iespēju saistībā ar mērķa grupas personu apzināšanu jau ir iekļauts noteikumu projekta anotācijas 1.2. sadaļā, līdz ar to nesaskatām nepieciešamību papildināt noteikumu projekta 15.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Mērķa grupas personu atlasi dalībai pasākumā nodrošina pašvaldības sociālais dienests. Ja nepieciešams, pašvaldības sociālais dienests informēšanas un sazināšanās nolūkos pieprasa Veselības un darbspēju ārstu valsts komisijai mērķa grupas personu kontaktinformāciju un ziņas par deklarēto dzīvesvietu.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pieņem mērķa grupas personas vai mērķa grupas personas likumiskā vai pilnvarotā pārstāvja aizpildītu iesniegumu (2. pielikums), kuram pievienoti mērķa grupas personas un tās mājokļa atbilstības dalībai pasākumā apliecinoši dokumenti;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15.1.apakšpunktu norādot, ka ne tikai iesnieguma formāts, bet arī iesniedzamo dokumentu uzskaitījums ir pieejams šo noteikumu pielikumā. Šobrīd no šīs redakcijas ir saprotams, ka jāaizpilda 2.pielikums, bet par iesniedzamajiem dokumentiem nav norādes.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 mērķa grupas personas vai mērķa grupas personas likumiskā vai pilnvarotā pārstāvja aizpildītu iesniegumu, kuram pievienoti mērķa grupas personas un tās mājokļa atbilstības dalībai pasākumā apliecinoši dokumenti (2.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16.1. apakšpunkts (iepriekš 15.1.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pieņem mērķa grupas personas vai mērķa grupas personas likumiskā vai pilnvarotā pārstāvja aizpildītu iesniegumu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kas satur mājokļa īpašnieka pilnvarojumu projekta iesniedzējam vai finansējuma saņēmējam veikt visas nepieciešamas darbības, tai skaitā būvniecību, mājokļa vides pieejamības nodrošināšanai, un kuram pievienoti mērķa grupas personas un tās mājokļa atbilstības dalībai pasākumā apliecinoši dokumenti;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pieņem mērķa grupas personas vai mērķa grupas personas likumiskā vai pilnvarotā pārstāvja aizpildītu iesniegumu (2. pielikums), kuram pievienoti mērķa grupas personas un tās mājokļa atbilstības dalībai pasākumā apliecinoši dokumenti;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nepieciešams norādīt termiņu, kādā pašvaldības sociālais dienests pieņem mērķa grupas personu iesniegumus par dalību pasākumā.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13.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pieņem mērķa grupas personas vai mērķa grupas personas likumiskā vai pilnvarotā pārstāvja aizpildītu iesniegumu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kas satur mājokļa īpašnieka pilnvarojumu projekta iesniedzējam vai finansējuma saņēmējam veikt visas nepieciešamas darbības, tai skaitā būvniecību, mājokļa vides pieejamības nodrošināšanai, un kuram pievienoti mērķa grupas personas un tās mājokļa atbilstības dalībai pasākumā apliecinoši dokumenti;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15.5.1. izveido komisiju, kuras sastāvā iekļauj vismaz vienu pārstāvi no pašvaldības sociālā dienesta un biedrības vai nodibinājuma, kas darbojas personu ar invaliditāti interešu aizstāvības jomā, ergoterapeitu un būvspeciālistu, kā arī nepieciešamības gadījumā piesaista citus speciālistus;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par kādiem līdzekļiem būs jāapmaksā ergoterapeita un būvspeciālista konsultācijas? Aicinām noteikumos iekļaut punktu, kas to paskaidro. Aicinām apmaksāt no Atveseļošanas fonda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Ergoterapeita un būvspeciālista izmaksas ir attiecināmas noteikumu projekta 20.1. apakšpunktā minētās atbalstāmās darbības “projekta vadība un īstenošanas”  ietvaros. Tā kā slēdziena un atzinuma sagatavošana tiek veikta noteikumu 20.1. apakšpuntkā noteiktās darbības ietvaros (uz darba vai pakalpojuma līguma pamata) un atsevišķas izmaksas nav paredzamas.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16.5.1. izveido komisiju, kuras sastāvā iekļauj vismaz vienu pārstāvi no pašvaldības sociālā dienesta un biedrības vai nodibinājuma, kas darbojas personu ar invaliditāti interešu aizstāvības jomā, ergoterapeitu, kā arī nepieciešamības gadījumā piesaista citus speciālistus;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16.5.2. komisija veic mērķa grupas personas un tās mājokļa atbilstības izvērtējumu, piemērojot šo noteikumu 4. pielikumā noteiktos papildu kritērijus, un sagatavo atzinumu par mērķa grupas personas iekļaušanu pasākumā vai arī izslēgšanu no turpmākas dalības 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anoācijas 1.3. sadaļu, ka arī mērķa grupas personas izslēgšana no pasākuma (noteikumu projekta 16.5.2.punkts) un atteikums iekļaut pasākumā (noteikumu projekta16.6. apakšpunkts), kā negatīvi lēmumi, tiek pieņemti Administratīvā procesa likuma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projekta anotācijā ir jau ietverts skaidrojums, kas ietver lēmumu par personas neiekļaušanu pasākumā un personas informēšanu par šo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16.5.2. komisija veic mērķa grupas personas un tās mājokļa atbilstības izvērtējumu, piemērojot šo noteikumu 4. pielikumā noteiktos papildu kritērijus, un sagatavo atzinumu par mērķa grupas personas iekļaušanu pasākumā vai arī izslēgšanu no turpmākas dalības 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Pēc šo noteikumu </w:t>
            </w:r>
            <w:r w:rsidR="00000000" w:rsidRPr="00000000" w:rsidDel="00000000">
              <w:rPr>
                <w:rtl w:val="0"/>
              </w:rPr>
              <w:t xml:space="preserve">16.6. </w:t>
            </w:r>
            <w:r w:rsidR="00000000" w:rsidRPr="00000000" w:rsidDel="00000000">
              <w:rPr>
                <w:rtl w:val="0"/>
              </w:rPr>
              <w:t xml:space="preserve">apakšpunktā</w:t>
            </w:r>
            <w:r w:rsidR="00000000" w:rsidRPr="00000000" w:rsidDel="00000000">
              <w:rPr>
                <w:rtl w:val="0"/>
              </w:rPr>
              <w:t xml:space="preserve"> minētā lēmuma par personas iekļaušanu pasākumā pieņemšanas projekta iesniedzējs vai finansējuma saņēmējs izveido mērķa grupas personu, kuras atbilst pasākuma mērķa grupas personu un mājokļu atbilstības nosacījumiem, anonimizētu sarakstu un veic tā aktualizāciju, ja sarakstā nepieciešams veikt izmaiņas.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nepieciešams noteikt, ka kamēr notiek projekta iesnieguma vērtēšana, projekta iesniedzējs neaktualizē sarakstu. Lai nepastāv risks, ka anonimizētais saraksts tiek patstāvīgi aktualizēts un tiek apgrūtināta lēmuma pieņemšana.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ka anonimizētā saraksta aktualizēšana nenotiek projekta iesnieguma atbilstības pārbaudes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Pēc šo noteikumu </w:t>
            </w:r>
            <w:r w:rsidR="00000000" w:rsidRPr="00000000" w:rsidDel="00000000">
              <w:rPr>
                <w:rtl w:val="0"/>
              </w:rPr>
              <w:t xml:space="preserve">16.6. </w:t>
            </w:r>
            <w:r w:rsidR="00000000" w:rsidRPr="00000000" w:rsidDel="00000000">
              <w:rPr>
                <w:rtl w:val="0"/>
              </w:rPr>
              <w:t xml:space="preserve">apakšpunktā</w:t>
            </w:r>
            <w:r w:rsidR="00000000" w:rsidRPr="00000000" w:rsidDel="00000000">
              <w:rPr>
                <w:rtl w:val="0"/>
              </w:rPr>
              <w:t xml:space="preserve"> minētā lēmuma par personas iekļaušanu pasākumā pieņemšanas projekta iesniedzējs vai finansējuma saņēmējs izveido mērķa grupas personu, kuras atbilst pasākuma mērķa grupas personu un mājokļu atbilstības nosacījumiem, anonimizētu sarakstu un veic tā aktualizāciju, ja sarakstā nepieciešams veikt izmaiņas.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Atbalstāmās darbības un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izmaksu attiecināmības sākuma datumu,ņemot vērā, ka tas šajā iterācijā svītrots no 23.1.apakšpunkta.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Atveseļošanas un noturības mehānisma nosacījumiem, no fonda nevar attiecināt izmaksas, kas radušās pirms 2020.gada 1.februāra.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 papildināta ar izmaksu attiecināmības sākuma datumu (23.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Atbalstāmās darbības un attiecināmās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projekta vadība un īstenošana;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noteikumu projekta 20.1. apakšpunktu (ņemot vērā noteikumu projekta 21.1. apakšpunktā minēto) papildinot ar vārdu "personāla" pēc vārda "īstenošana" attiecīgajā locījumā.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20.1. apakšpunktā ir ietverta pasākuma ietvaros atbalstāmā darbība, savukārt 21.1. apakšpunktā atbalstāmo darbību izmaksas, līdz ar to redakcijas ir veidotas ņemot vērā katra noteikumu punkta būtību, un nav precizējamas atbilstoši izteiktajam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projekta vadība un īstenošana;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būvekspertīze, būvuzraudzība un autoruzraudzība;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ierobežojumus procentos (%) no attiecināmajām izmaksām attiecībā uz šo izmaksu attiecināmības apjomiem, lai mērķorientētāk nodrošinātu investīcijas.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Ierobežojumi attiecībā uz šajā apakšpunktā noteiktajiem pakalpojumiem netiks noteikti, lai nesarežģītu projektu un neierobežotu finansējuma saņēmējus.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būvekspertīze, būvuzraudzība un autoruzraudzība;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vides pieejamības konsultācijas un būvspeciālistu konsultācijas.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ierobežojumus procentos no attiecināmajām izmaksām attiecībā uz šo izmaksu attiecināmības apjomiem, lai mērķorientētāk nodrošinātu investīcijas.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izziņas 51.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vides pieejamības konsultācijas</w:t>
            </w:r>
            <w:r w:rsidR="00000000" w:rsidRPr="00000000" w:rsidDel="00000000">
              <w:rPr>
                <w:b w:val="1"/>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Izmaksas šo noteikumu 19.1. apakšpunktā minētās atbalstāmās darbības īstenošanai finansējuma saņēmējs plāno kā vienu izmaksu pozīciju 10 procentu apmērā no Atveseļošanas fonda finansējuma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10% apmērs jākontrolē no 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22. apakšpunkts (iepriekš 21. apakšpunkts), nosakot, ka projekta vadības un īstenošanas personāla izmaksas plāno kā vienu izmaksu pozīciju 10% apmērā no šo noteikumu 21. punktā minēto izmaksu, kas nav projekta vadības un īstenošanas personāla atlīdzības vai iepirkuma līgumu izmaksas, AF finansējuma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Izmaksas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minētās atbalstāmās darbības īstenošanai finansējuma saņēmējs plāno kā vienu izmaksu pozīciju 15 procentu apmērā no šo noteikumu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minēto izmaksu, kas nav projekta vadības un īstenošanas personāla atlīdzības, Atveseļošanas fonda finansējuma apmēra.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izmaksas, kas radušās pirms 2023. gada 1. janvāra vai tādu darbību izmaksas, kas pabeigtas līdz 2022.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teikuma pirmā daļa "izmaksas, kas radušās pirms 2023.gada 1.janvāra vai.." nebūtu dzēšama, citādi, šķiet, ka veidojas pretruna starp abiem 23.1.punktā ietvertajiem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24.1.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atbalstāmo darbību, kuru īstenošana pabeigta līdz 2022. gada 31. decembrim,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izmaksas, kas radušās šo noteikumu 19. punktā atbalstāmo darbību īstenošanai un pārsniedz līgumā noteikto projekta Atveseļošanas fonda finansējuma apmēru, taču tās ir iekļaujamas projektā kā pašvaldības budžeta finansējums vai privātais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aiz vārdiem "pašvaldības budžeta finansējums" ar teikuma daļu "ja to paredz pašvaldības saistošie noteikumi".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24.3. apakšpunkts (iepriekš 22.3.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izmaksas, kas radušās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atbalstāmo darbību īstenošanai un pārsniedz līgumā noteikto projekta Atveseļošanas fonda finansējuma apmēru, taču tās ir iekļaujamas projektā kā pašvaldības budžeta finansējums, ja to paredz pašvaldības saistošie noteikumi, vai privātais finansējums, un ja šīs izmaksas ir tieši saistītas ar šo noteikumu </w:t>
            </w:r>
            <w:r w:rsidR="00000000" w:rsidRPr="00000000" w:rsidDel="00000000">
              <w:rPr>
                <w:rtl w:val="0"/>
              </w:rPr>
              <w:t xml:space="preserve">7.1. </w:t>
            </w:r>
            <w:r w:rsidR="00000000" w:rsidRPr="00000000" w:rsidDel="00000000">
              <w:rPr>
                <w:rtl w:val="0"/>
              </w:rPr>
              <w:t xml:space="preserve">apakšpunktā</w:t>
            </w:r>
            <w:r w:rsidR="00000000" w:rsidRPr="00000000" w:rsidDel="00000000">
              <w:rPr>
                <w:rtl w:val="0"/>
              </w:rPr>
              <w:t xml:space="preserve"> noteiktā atskaites punkta un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noteiktā mērķrādītāja sasniegšanu un atbilst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noteiktajām atbalstāmajām darbībām un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attiecināmo izmaksu pozīcijām.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Pasākuma īstenošanas un uzraudzības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vai anotāciju ar lēmumu apstrīdēšanas kārtību gan attiecībā uz projektu iesniedzējiem, gan attiecībā uz mērķa grupas uzlabojamās infrastruktūras atlasi.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projekta iesniedzējiem nav nepieciešams noteikt apstrīdēšanas kārtību, jo 3.1.2.1.i. investīcijas otrās kārtas pasākuma projektiem nav paredzēta atlase. Projekta iesniedzējs iesniedz projektu par konkrētu kvotu skaitu, tiek pārbaudīta tā atbilstība uzaicinājumā un noteikuma projektā noteiktajam un slēgts līgums vai vienošanās par projekta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lēmumiem saistībā ar mērķa grupas atlasi, papildināta noteikumu projekta anotācija, ka pieņemto lēmumu var pārsūdzēt Administratīvā procesa likuma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Pasākuma īstenošanas un uzraudzības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Pasākuma projekta īstenošanai un uzraudzībai nepieciešamo informāciju projekta iesniedzējs vai finansējuma saņēmējs, ministrija, Centrālā finanšu un līgumu aģentūra (turpmāk – aģentūra) iesniedz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vārdus "projekta iesniedzējs vai", ņemot vērā, ka informāciju projekta īstenošanas laikā sniedz finansējuma saņēmējs.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Vārdus "projekta iesniedzējs" nevar svītrot , jo noteikumu projekta 25. punkts (iepriekš 23. punkts) paredz arī projekta veidlapas iesniegšanu, ko veic projekta iesniedzējs.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Pasākuma projekta īstenošanai un uzraudzībai nepieciešamo informāciju projekta iesniedzējs vai finansējuma saņēmējs, ministrija, Centrālā finanšu un līgumu aģentūra (turpmāk – aģentūra) iesniedz vadības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ministrija 10 darbdienu laikā pēc šo noteikumu spēkā stāšanās nosūta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noteiktajām pašvaldībām uzaicinājumu iesniegt projekta veidlapu –  projekta iesnieguma veidlapu un tās pielikumus (turpmāk – projekta veidlapa), informējot aģentūru par ministrijas nosūtītajiem uzaicinājumiem un aicinot aģentūru veikt šo noteikumu </w:t>
            </w:r>
            <w:r w:rsidR="00000000" w:rsidRPr="00000000" w:rsidDel="00000000">
              <w:rPr>
                <w:rtl w:val="0"/>
              </w:rPr>
              <w:t xml:space="preserve">25.3.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minētās darbības. Uzaicinājumā norāda vismaz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vārdus "projekta veidlapu" pirms vārdiem "projekta iesnieguma veidlapu un tās pielikumus (turpmāk – projekta veidlapa)", ņemot vērā, ka dublē iekavās rakstīto.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26.1.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ministrija 10 darbdienu laikā pēc šo noteikumu spēkā stāšanās nosūta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noteiktajām pašvaldībām uzaicinājumu iesniegt projekta iesnieguma veidlapu un tās pielikumus (turpmāk – projekta veidlapa), informējot aģentūru par ministrijas nosūtītajiem uzaicinājumiem un aicinot aģentūru veikt šo noteikumu </w:t>
            </w:r>
            <w:r w:rsidR="00000000" w:rsidRPr="00000000" w:rsidDel="00000000">
              <w:rPr>
                <w:rtl w:val="0"/>
              </w:rPr>
              <w:t xml:space="preserve">26.3.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minētās darbības. Uzaicinājumā norāda vismaz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ministrija 10 darbdienu laikā pēc šo noteikumu spēkā stāšanās projekta iesniedzējam nosūta uzaicinājumu iesniegt projekta veidlapu, informējot aģentūru par ministrijas nosūtītajiem uzaicinājumiem un aicinot aģentūru veikt šo noteikumu 24.3. apakšpunktā un 32. punktā minētās darbības. Uzaicinājumā norāda vismaz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informāciju, ka uzaicinājums iesniegt projekta iesniegumu tiek nosūtīts tiem projekta iesniedzējiem, kas noteikti noteikumu projekta 1.pielikumā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 sadaļa, ka, ja projekta īstenotājs būs pašvaldības iestāde, pašvaldības kapitālsabiedrība vai pašvaldības kontrolēta kapitālsabiedrība, kas nodrošina nekustamo īpašumu pārvaldīšanu un apsaimniekošanu vai sociālo pakalpojumu sniegšanu, tad pašvaldība nodos uzaicinājumu iesniegt projekta veidlapu konkrētajam projekta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ministrija 10 darbdienu laikā pēc šo noteikumu spēkā stāšanās nosūta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noteiktajām pašvaldībām uzaicinājumu iesniegt projekta iesnieguma veidlapu un tās pielikumus (turpmāk – projekta veidlapa), informējot aģentūru par ministrijas nosūtītajiem uzaicinājumiem un aicinot aģentūru veikt šo noteikumu </w:t>
            </w:r>
            <w:r w:rsidR="00000000" w:rsidRPr="00000000" w:rsidDel="00000000">
              <w:rPr>
                <w:rtl w:val="0"/>
              </w:rPr>
              <w:t xml:space="preserve">26.3.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minētās darbības. Uzaicinājumā norāda vismaz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 projekta iesniedzējam pieejamo pašvaldības kvotu;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ka projekta iesniedzējam pieejamā pašvaldības kvota saskaņā ar šo noteikumu 1.pielikumu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Nesaskatām nepieciešamību precizēt 26.1.2. apakšpunktu (iepriekš 24.1.2. apakšpunktu), ņemot vērā, ka noteikumu projekta 14. punktā ir noteikts saīsinājums "pašvaldības kvota".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26.1.2. projekta iesniedzējam pieejamo pašvaldības kvotu;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projekta iesniedzējs 80 darbdienu laikā pēc šo noteikumu 24.1. apakšpunktā minētā uzaicinājuma saņemšanas iesniedz vienu projekta veidlapu par visiem mājokļiem, kuros plānots nodrošināt vides pielāgošanu attiecīgajā pašvaldībā, pievienojot mērķa grupas personu anonimizēto sarakstu un lēmuma par mērķa grupas personas iekļaušanu šajā sarakstā kopiju;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iesniedzot projektu tā ietvaros jābūt pievienotam: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Pašvaldības apliecinājumam par informētību attiecībā uz interešu konflikta jautājumu regulējumu un to integrāciju iekšējās kontroles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Pašvaldībā apstiprinātai kārtībai, kādā tiek pieņemts lēmums, t.sk. sociālajā dienestā, par atbalsta piešķiršanu anonimizētajā sarakstā minētajām personām (procesa, procedūras apraksts, kas apliecina, ka process ir bijis caurspīdīgs, vienlīdzīgs, ka ir vērtēti dubultā finansēšanas riski, ka un kā gūta pārliecība, ka netiek sniegts atbalsts saimnieciskās darbības vietai).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Apliecinājums par finanšu pieejamību projekta īstenošanai (ja attiecināms), jo īpaši, ja iesniedzējs-īstenotājs ir pašvaldības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precizēt, ka projekta iesniedzējs iesniedz projektu nevis veidlapu, jo projekti šobrīd ir jāiesniedz e-vidē nevis kā MS Word vai tml.dokuments.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ģenerējot projekta veidlapu Kohēzijas politikas fondu vadības informācijas sistēmā, šo informāciju iekļaus aizpildāmo datu laukos.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precizēta noteikumu projekta anotācijas 1.3. sadaļa, skaidrojot, ka projekta veidlapa šo noteikumu projekta izpratnē nozīmē datu lauku par projektu aizpildīšanu un nepieciešamo pielikumu pievienošanu vadības informācijas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iesniedzējs 80 darbdienu laikā pēc šo noteikumu </w:t>
            </w:r>
            <w:r w:rsidR="00000000" w:rsidRPr="00000000" w:rsidDel="00000000">
              <w:rPr>
                <w:rtl w:val="0"/>
              </w:rPr>
              <w:t xml:space="preserve">26.1. </w:t>
            </w:r>
            <w:r w:rsidR="00000000" w:rsidRPr="00000000" w:rsidDel="00000000">
              <w:rPr>
                <w:rtl w:val="0"/>
              </w:rPr>
              <w:t xml:space="preserve">apakšpunktā</w:t>
            </w:r>
            <w:r w:rsidR="00000000" w:rsidRPr="00000000" w:rsidDel="00000000">
              <w:rPr>
                <w:rtl w:val="0"/>
              </w:rPr>
              <w:t xml:space="preserve"> minētā uzaicinājuma saņemšanas iesniedz vienu projekta veidlapu par visiem mājokļiem, kuros plānots nodrošināt vides pielāgošanu attiecīgajā pašvaldībā, pievienojot mērķa grupas personu anonimizēto sarakstu un lēmuma par mērķa grupas personas iekļaušanu šajā sarakstā kopiju;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25.3.1. 20 darbdienu laikā pēc šo noteikumu </w:t>
            </w:r>
            <w:r w:rsidR="00000000" w:rsidRPr="00000000" w:rsidDel="00000000">
              <w:rPr>
                <w:rtl w:val="0"/>
              </w:rPr>
              <w:t xml:space="preserve">25.2. </w:t>
            </w:r>
            <w:r w:rsidR="00000000" w:rsidRPr="00000000" w:rsidDel="00000000">
              <w:rPr>
                <w:rtl w:val="0"/>
              </w:rPr>
              <w:t xml:space="preserve">apakšpunktā</w:t>
            </w:r>
            <w:r w:rsidR="00000000" w:rsidRPr="00000000" w:rsidDel="00000000">
              <w:rPr>
                <w:rtl w:val="0"/>
              </w:rPr>
              <w:t xml:space="preserve"> minētās projekta veidlapas saņemšanas pārliecinās, ka uz projekta iesniedzēju, un, ja attiecināms, tā valdes vai padomes locekli vai prokūristu, nav attiecināmi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noteiktie izslēgšanas kritēriji (turpmāk – izslēgšanas kritēriji), kā arī pārliecinās, ka projekta veidlapa atbilst šo noteikumu </w:t>
            </w:r>
            <w:r w:rsidR="00000000" w:rsidRPr="00000000" w:rsidDel="00000000">
              <w:rPr>
                <w:rtl w:val="0"/>
              </w:rPr>
              <w:t xml:space="preserve">25.1. </w:t>
            </w:r>
            <w:r w:rsidR="00000000" w:rsidRPr="00000000" w:rsidDel="00000000">
              <w:rPr>
                <w:rtl w:val="0"/>
              </w:rPr>
              <w:t xml:space="preserve">apakšpunktā</w:t>
            </w:r>
            <w:r w:rsidR="00000000" w:rsidRPr="00000000" w:rsidDel="00000000">
              <w:rPr>
                <w:rtl w:val="0"/>
              </w:rPr>
              <w:t xml:space="preserve"> minētajā uzaicinājumā iekļautajai informācijai un šo noteikumu nosacījumiem, izņemot mērķa grupas atbilstības pārbaudi;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precizēt noteikto termiņi - 20 darbdienas, nosakot termiņu mēnešos.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26.3.1. apakšpunkts. Sazinoties ar CFLA par priekšlikuma būtību, noskaidrots, ka CFLA ir nepieciešams pietiekams laiks projekta veidlapas pārbaudei, ņemot vērā, ka mēnesī var būt vairāk kā 20 darba dienu. Līdz ar to, ņemot vērā vienoto pieeju noteikumu projektā noteikto procesu termiņu noteikšanai darbdienās un izprotot nepieciešamību pagarināt projekta iesniedzēja un projekta iesnieguma atbilstības pārbaudi, minētajam procesam precizēts dienu skaits no 20 darbdienām uz 30 darbdienām.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26.3.1. 30 darbdienu laikā pēc šo noteikumu </w:t>
            </w:r>
            <w:r w:rsidR="00000000" w:rsidRPr="00000000" w:rsidDel="00000000">
              <w:rPr>
                <w:rtl w:val="0"/>
              </w:rPr>
              <w:t xml:space="preserve">26.2. </w:t>
            </w:r>
            <w:r w:rsidR="00000000" w:rsidRPr="00000000" w:rsidDel="00000000">
              <w:rPr>
                <w:rtl w:val="0"/>
              </w:rPr>
              <w:t xml:space="preserve">apakšpunktā</w:t>
            </w:r>
            <w:r w:rsidR="00000000" w:rsidRPr="00000000" w:rsidDel="00000000">
              <w:rPr>
                <w:rtl w:val="0"/>
              </w:rPr>
              <w:t xml:space="preserve"> minētās projekta veidlapas saņemšanas pārliecinās, ka uz projekta iesniedzēju, un, ja attiecināms, tā valdes vai padomes locekli vai prokūristu, nav attiecināmi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noteiktie izslēgšanas kritēriji (turpmāk – izslēgšanas kritēriji), kā arī pārliecinās, ka projekta veidlapa atbilst šo noteikumu </w:t>
            </w:r>
            <w:r w:rsidR="00000000" w:rsidRPr="00000000" w:rsidDel="00000000">
              <w:rPr>
                <w:rtl w:val="0"/>
              </w:rPr>
              <w:t xml:space="preserve">26.1. </w:t>
            </w:r>
            <w:r w:rsidR="00000000" w:rsidRPr="00000000" w:rsidDel="00000000">
              <w:rPr>
                <w:rtl w:val="0"/>
              </w:rPr>
              <w:t xml:space="preserve">apakšpunktā</w:t>
            </w:r>
            <w:r w:rsidR="00000000" w:rsidRPr="00000000" w:rsidDel="00000000">
              <w:rPr>
                <w:rtl w:val="0"/>
              </w:rPr>
              <w:t xml:space="preserve"> minētajā uzaicinājumā iekļautajai informācijai un šo noteikumu nosacījumiem, izņemot mērķa grupas atbilstības pārbaudi;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24.3.1. 20 darbdienu laikā pēc šo noteikumu 24.2. apakšpunktā minētās projekta veidlapas saņemšanas pārliecinās par projekta veidlapas atbilstību šo noteikumu 24.1. apakšpunktā minētajā uzaicinājumā iekļautajai informācijai un šo noteikumu nosacījumiem, kā arī pārliecinās, ka uz projekta iesniedzēju nav attiecināmi Eiropas Parlamenta un Padomes Regulas (ES, Euratom) Nr.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noteiktie izslēgšanas kritēriji (turpmāk – izslēgšanas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24.3.1.apakšpunkta redakcijas beigu daļu, paredzot, ka izslēgšanas nosacījumu pārbaudes apjoms ir plašāks, proti, izslēgšanas nosacījumi ir attiecināmi ne tikai uz projekta iesniedzēju, bet arī uz  projekta iesniedzēja valdes vai padomes locekli vai prokūristu, vai personu, kura ir pilnvarota pārstāvēt projekta iesniedzēju ar filiāli saistītās darbībās, ar tādu prokurora priekšrakstu par sodu vai tiesas spriedumu, kas stājies spēkā un kļuvis neapstrīdams un nepārsūdzams (skat. Eiropas Savienības fondu 2021.-2027.gada plānošanas perioda vadības likuma 22.pantu) un pārceļot to tehniski uz 24.3.1.apakšpunkta sākuma daļu, jo primāri jāpārliecinās, vai iesniedzējs nav izslēdzams, un tikai tad jāskatās pārējais, proti, 24.1.apakšpunkta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anotācijā skaidrot, ka izslēgšanas nosacījumu pārbaude ir attiecināma uz projekta iesniedzējiem, kas ir privāto tiesību juridiskas, fiziskas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ka primāri aģentūra pārliecinās, vai atbilst uzaicinājumā norādītajai info, jo šī ir ierobežota projektu iesniegumu atlase, kur pēc būtības izvērtējums par atbilstību no ministrijas ir veikts. Aģentūrai nebūtu vēlreiz jāpārliecinās, vai ir kapacitāte, vai korekti veikta gala labuma guvēja atlase. Ja jāvērtē pēc būtības, tad būtu jābūt kritērijiem, cita veida procesam.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“…pārliecinās, ka uz projekta iesniedzēju vai personu, kura ir projekta iesniedzēja valdes vai padomes loceklis vai prokūrists, vai personu, kura ir pilnvarota pārstāvēt projekta iesniedzēju ar filiāli saistītās darbībās, ar tādu prokurora priekšrakstu par sodu vai tiesas spriedumu, kas stājies spēkā un kļuvis neapstrīdams un nepārsūdzams, nav attiecināmi Eiropas Parlamenta un Padomes Regulas (ES, Euratom) Nr.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noteiktie izslēgšanas kritēriji (turpmāk – izslēgšanas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26.3.1. apakšpunkts (iepriekš 24.3.1. apakšpunkts), kā arī precizēta noteikumu projekta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26.3.1. 30 darbdienu laikā pēc šo noteikumu </w:t>
            </w:r>
            <w:r w:rsidR="00000000" w:rsidRPr="00000000" w:rsidDel="00000000">
              <w:rPr>
                <w:rtl w:val="0"/>
              </w:rPr>
              <w:t xml:space="preserve">26.2. </w:t>
            </w:r>
            <w:r w:rsidR="00000000" w:rsidRPr="00000000" w:rsidDel="00000000">
              <w:rPr>
                <w:rtl w:val="0"/>
              </w:rPr>
              <w:t xml:space="preserve">apakšpunktā</w:t>
            </w:r>
            <w:r w:rsidR="00000000" w:rsidRPr="00000000" w:rsidDel="00000000">
              <w:rPr>
                <w:rtl w:val="0"/>
              </w:rPr>
              <w:t xml:space="preserve"> minētās projekta veidlapas saņemšanas pārliecinās, ka uz projekta iesniedzēju, un, ja attiecināms, tā valdes vai padomes locekli vai prokūristu, nav attiecināmi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noteiktie izslēgšanas kritēriji (turpmāk – izslēgšanas kritēriji), kā arī pārliecinās, ka projekta veidlapa atbilst šo noteikumu </w:t>
            </w:r>
            <w:r w:rsidR="00000000" w:rsidRPr="00000000" w:rsidDel="00000000">
              <w:rPr>
                <w:rtl w:val="0"/>
              </w:rPr>
              <w:t xml:space="preserve">26.1. </w:t>
            </w:r>
            <w:r w:rsidR="00000000" w:rsidRPr="00000000" w:rsidDel="00000000">
              <w:rPr>
                <w:rtl w:val="0"/>
              </w:rPr>
              <w:t xml:space="preserve">apakšpunktā</w:t>
            </w:r>
            <w:r w:rsidR="00000000" w:rsidRPr="00000000" w:rsidDel="00000000">
              <w:rPr>
                <w:rtl w:val="0"/>
              </w:rPr>
              <w:t xml:space="preserve"> minētajā uzaicinājumā iekļautajai informācijai un šo noteikumu nosacījumiem, izņemot mērķa grupas atbilstības pārbaudi;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24.3.2. piecu darbdienu laikā pēc šo noteikumu 24.3.1. apakšpunktā minēto darbību veikšanas un prasību izpildes nosūta līgumu parakstīšanai;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 Atveseļošanas un noturības mehānisma gadījumā projektu iesniegumu atlases un vērtēšanas kārtību, tostarp izpildes termiņus nosaka iekšējā normatīvā aktā saskaņā ar Valsts pārvaldes iekārtas likuma 72. panta pirmās daļas 1. punktu un saskaņā ar Ministru kabineta 2021. gada 7. septembra noteikumu Nr. 621 “Eiropas Savienības Atveseļošanas un noturības mehānisma plāna īstenošanas un uzraudzības kārtība” 9. punktu. Lai novērstu iespējamo potenciālo tiesību normu kolīziju (piemēram, iekšējo normatīvo aktu grozījumu gadījumā), lūdzam svītrot Ministru kabineta noteikumu projekta 24.3.2. apakšpunktā noteikto izpildes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26.3.2. apakšpunkts (iepriekš 24.3.2.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26.3.2. pēc šo noteikumu </w:t>
            </w:r>
            <w:r w:rsidR="00000000" w:rsidRPr="00000000" w:rsidDel="00000000">
              <w:rPr>
                <w:rtl w:val="0"/>
              </w:rPr>
              <w:t xml:space="preserve">26.3.1. </w:t>
            </w:r>
            <w:r w:rsidR="00000000" w:rsidRPr="00000000" w:rsidDel="00000000">
              <w:rPr>
                <w:rtl w:val="0"/>
              </w:rPr>
              <w:t xml:space="preserve">apakšpunktā</w:t>
            </w:r>
            <w:r w:rsidR="00000000" w:rsidRPr="00000000" w:rsidDel="00000000">
              <w:rPr>
                <w:rtl w:val="0"/>
              </w:rPr>
              <w:t xml:space="preserve"> minēto darbību veikšanas un prasību izpildes nosūta līgumu parakstīšanai;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24.3.2. piecu darbdienu laikā pēc šo noteikumu 24.3.1. apakšpunktā minēto darbību veikšanas un prasību izpildes nosūta līgumu parakstīšanai;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12. punktā definētos projekta iesniedzējus, lūdzam papildināt noteikumu projekta 24.3.2. apakšpunktu ar vārdiem "vai vienošanos" aiz vārda "līgumu". Attiecīgums precizējumus lūdzam veikt arī turpmāk tekstā, kur tas attiecināms.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Neredzam nepieciešamību papildināt noteikumu projekta 26.3.2. apakšpunktu (iepriekš 24.3.2. apakšpunktu), jo noteikumu projektā tiek lietots termins "līgums", pamatojoties uz saīsinājumu noteikumu projekta 1.9.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26.3.2. pēc šo noteikumu </w:t>
            </w:r>
            <w:r w:rsidR="00000000" w:rsidRPr="00000000" w:rsidDel="00000000">
              <w:rPr>
                <w:rtl w:val="0"/>
              </w:rPr>
              <w:t xml:space="preserve">26.3.1. </w:t>
            </w:r>
            <w:r w:rsidR="00000000" w:rsidRPr="00000000" w:rsidDel="00000000">
              <w:rPr>
                <w:rtl w:val="0"/>
              </w:rPr>
              <w:t xml:space="preserve">apakšpunktā</w:t>
            </w:r>
            <w:r w:rsidR="00000000" w:rsidRPr="00000000" w:rsidDel="00000000">
              <w:rPr>
                <w:rtl w:val="0"/>
              </w:rPr>
              <w:t xml:space="preserve"> minēto darbību veikšanas un prasību izpildes nosūta līgumu parakstīšanai;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24.3.3. lūdz projekta iesniedzēju veikt precizējumus projekta veidlapā, nosakot precizējumu veikšanas termiņu, ja projekta veidlapa neatbilst šo noteikumu 24.3.1. apakšpunktā minētajām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ka aģentūrai ir tiesības lūgt precizēt ne tikai projektā norādīto informāciju, bet arī papildus pievienotajos dokumentos pieejamo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precizējumu noteikumu projekta 26.1. apakšpunktā (iepriekš 24.1.apakšpunktā).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26.3.3. lūdz projekta iesniedzēju veikt precizējumus projekta veidlapā</w:t>
            </w:r>
            <w:r w:rsidR="00000000" w:rsidRPr="00000000" w:rsidDel="00000000">
              <w:rPr>
                <w:b w:val="1"/>
                <w:rtl w:val="0"/>
              </w:rPr>
              <w:t xml:space="preserve">,</w:t>
            </w:r>
            <w:r w:rsidR="00000000" w:rsidRPr="00000000" w:rsidDel="00000000">
              <w:rPr>
                <w:rtl w:val="0"/>
              </w:rPr>
              <w:t xml:space="preserve"> nosakot precizējumu veikšanas termiņu, ja projekta veidlapa neatbilst šo noteikumu </w:t>
            </w:r>
            <w:r w:rsidR="00000000" w:rsidRPr="00000000" w:rsidDel="00000000">
              <w:rPr>
                <w:rtl w:val="0"/>
              </w:rPr>
              <w:t xml:space="preserve">26.3.1. </w:t>
            </w:r>
            <w:r w:rsidR="00000000" w:rsidRPr="00000000" w:rsidDel="00000000">
              <w:rPr>
                <w:rtl w:val="0"/>
              </w:rPr>
              <w:t xml:space="preserve">apakšpunktā</w:t>
            </w:r>
            <w:r w:rsidR="00000000" w:rsidRPr="00000000" w:rsidDel="00000000">
              <w:rPr>
                <w:rtl w:val="0"/>
              </w:rPr>
              <w:t xml:space="preserve"> minētajām prasībām</w:t>
            </w:r>
            <w:r w:rsidR="00000000" w:rsidRPr="00000000" w:rsidDel="00000000">
              <w:rPr>
                <w:b w:val="1"/>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24.3.3. lūdz projekta iesniedzēju veikt precizējumus projekta veidlapā, nosakot precizējumu veikšanas termiņu, ja projekta veidlapa neatbilst šo noteikumu 24.3.1. apakšpunktā minētajām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cik reizes iespējams precizēt projekta iesniegumu.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nav nepieciešams noteikt reižu skaitu projekta informācijas precizēšanai.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26.3.3. lūdz projekta iesniedzēju veikt precizējumus projekta veidlapā</w:t>
            </w:r>
            <w:r w:rsidR="00000000" w:rsidRPr="00000000" w:rsidDel="00000000">
              <w:rPr>
                <w:b w:val="1"/>
                <w:rtl w:val="0"/>
              </w:rPr>
              <w:t xml:space="preserve">,</w:t>
            </w:r>
            <w:r w:rsidR="00000000" w:rsidRPr="00000000" w:rsidDel="00000000">
              <w:rPr>
                <w:rtl w:val="0"/>
              </w:rPr>
              <w:t xml:space="preserve"> nosakot precizējumu veikšanas termiņu, ja projekta veidlapa neatbilst šo noteikumu </w:t>
            </w:r>
            <w:r w:rsidR="00000000" w:rsidRPr="00000000" w:rsidDel="00000000">
              <w:rPr>
                <w:rtl w:val="0"/>
              </w:rPr>
              <w:t xml:space="preserve">26.3.1. </w:t>
            </w:r>
            <w:r w:rsidR="00000000" w:rsidRPr="00000000" w:rsidDel="00000000">
              <w:rPr>
                <w:rtl w:val="0"/>
              </w:rPr>
              <w:t xml:space="preserve">apakšpunktā</w:t>
            </w:r>
            <w:r w:rsidR="00000000" w:rsidRPr="00000000" w:rsidDel="00000000">
              <w:rPr>
                <w:rtl w:val="0"/>
              </w:rPr>
              <w:t xml:space="preserve"> minētajām prasībām</w:t>
            </w:r>
            <w:r w:rsidR="00000000" w:rsidRPr="00000000" w:rsidDel="00000000">
              <w:rPr>
                <w:b w:val="1"/>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24.3.4. ja projekta iesniedzējs nav precizējis projekta veidlapu vai nav iesniedzis to aģentūras norādītajā termiņā vai arī ja projekta iesniedzējs atbilst kādam no izslēgšanas kritērijiem, informē projekta iesniedzēju, ka līgums netiks slēgts.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ka prioritāri izslēdzam, ja neatbilst izslēgšanas nosacījumiem, sekundāri tikai ir pārējais. Vienlaikus lūdzu precizēt, ka ne tikai precizējumi PI datu laukos, bet arī papildus iesniegtajos dokumentos, piem., pašvaldības lēmumā, aģentūrai ir tiesības lūgt labojumus.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precizējumu noteikumu projekta 26.1. apakšpunktā (iepriekš 24.1.apakšpunktā).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26.3.4. ja projekta iesniedzējs atbilst kādam no izslēgšanas kritērijiem vai arī projekta iesniedzējs nav precizējis projekta veidlapu, vai nav iesniedzis to aģentūras norādītajā termiņā, informē projekta iesniedzēju, ka līgums netiks slēgts.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27.2.2. aģentūra līgumā noteiktajā kārtībā pārbauda šo noteikumu 27.2.1. apakšpunktā minēto starpposma maksājuma pieprasījumu un, ja aģentūrai nav iebildumu pret starpposma maksājuma pamatojumu, veic starpposma maksājumu;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aģentūra veic iekšējās kontroles sistēmas pārbaudi, kā arī izlases viedā pārliecinās par gala labuma guvēja  atbilstību MK noteikuma projektā izvirzītajām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29.2.2. apakšpunkts (iepriekš 27.2.2.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29.2.2. aģentūra līgumā noteiktajā kārtībā pārbauda šo noteikumu </w:t>
            </w:r>
            <w:r w:rsidR="00000000" w:rsidRPr="00000000" w:rsidDel="00000000">
              <w:rPr>
                <w:rtl w:val="0"/>
              </w:rPr>
              <w:t xml:space="preserve">29.2.1. </w:t>
            </w:r>
            <w:r w:rsidR="00000000" w:rsidRPr="00000000" w:rsidDel="00000000">
              <w:rPr>
                <w:rtl w:val="0"/>
              </w:rPr>
              <w:t xml:space="preserve">apakšpunktā</w:t>
            </w:r>
            <w:r w:rsidR="00000000" w:rsidRPr="00000000" w:rsidDel="00000000">
              <w:rPr>
                <w:rtl w:val="0"/>
              </w:rPr>
              <w:t xml:space="preserve"> minēto starpposma maksājuma pieprasījumu, un, ja aģentūrai nav iebildumu pret starpposma maksājuma pamatojumu, veic starpposma maksājumu;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Īstenojot šo noteikumu 19. punktā minētās atbalstāmās darbības, finansējuma saņēmējs pats vai īstenojot iepirkumu līgumus, ievēro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frāzi "finansējuma saņēmējs pats vai īstenojot iepirkumu līgumus". Norādām, ka finansējuma saņēmēja tiesības veikt ieprikumus paredzēta tostarp noteikumu projekta 29.5.apakšpunktā. Turklāt frāze "īsteno iepirkuma līgumus" nav korekta, jo pasūtītājs nevis īsteno šādus līgumus, bet normatīvajos aktos noteiktā kārtībā iepērk būvdarbus, preces vai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30.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Īstenojot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minētās atbalstāmās darbības, finansējuma saņēmējs pats vai slēdzot iepirkumu līgumus, ievēro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Īstenojot projektu,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anotācijā ir paredzēts pienākums CFLA veikt Finansējuma saņēmēja iekšējās kontroles sistēmas pārbaudes, sniedzam priekšlikumu papildināt noteikumu projekta 30. punktu ar papildu apakšpunktu, paredzot finansējuma saņēmējam pienākumu, izstrādāt iekšējās kontroles sistēmu (iekšējo kārtību), ietverot tajā informāciju par interešu konflikta, krāpšanas, korupcijas risku un dubultā finansējuma novēršanas mehānismiem.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 iekšējās kontroles sistēmu (iekšējo kartību), ietverot tajā informāciju par interešu konflikta, krāpšanas, korupcijas risku un dubultā finansējuma novēršanas mehānismiem.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31.3. apakšpunkts un noteikumu projekta anotācijas 1.3. sadaļa, ka finansējuma saņēmējiem ir nepieciešams izstrādāt iekšējās kontroles sistēmu, ietverot tajā informāciju par interešu konflikta, krāpšanas, korupcijas risku un dubultā finansējuma novēršanas mehānismiem.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Īstenojot projektu,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rīkojas mājokļa īpašnieka vārdā kā tās pilnvarotais pārstāvis un ir tiesīgs veikt nepieciešamās darbības, tai skaitā ierosināt būvniecību, lai nodrošinātu mērķa grupas personas mājokļa vides pielāgošanu;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nolūkos atkārtoti aicinām precizēt noteikumu projekta 30.3. apakšpunktu, piemēram, izsakot to šādi: "uz mājokļa īpašnieka pilnvaras pamata ir tiesīgs veikt nepieciešamās darbības [..]" vai "saskaņojot ar mājokļa īpašnieku, ir tiesīgs veikt nepieciešamās darbības [..]". Vēršam uzmanību, ka pašreizējo noteikumu projekta 30.3. apakšpunkta redakciju iespējams lasīt arī tādejādi, ka finansējuma saņēmēja statuss automātiski padara to par mājokļa īpašnieka pilnvaroto pārstāvi un piešķir tam tiesības rīkoties mājokļa īpašnieka vārdā </w:t>
            </w:r>
            <w:r w:rsidR="00000000" w:rsidRPr="00000000" w:rsidDel="00000000">
              <w:rPr>
                <w:u w:val="single"/>
                <w:rtl w:val="0"/>
              </w:rPr>
              <w:t xml:space="preserve">īpašumtiesību</w:t>
            </w:r>
            <w:r w:rsidR="00000000" w:rsidRPr="00000000" w:rsidDel="00000000">
              <w:rPr>
                <w:rtl w:val="0"/>
              </w:rPr>
              <w:t xml:space="preserve"> jautājumos, t.i., šāds regulējums būtu uzskatāms par Latvijas Republikas Satversmē personai noteikto pamattiesību ierobežojumu. No noteikumu projekta un tā anotācijas kopumā neizriet noteikumu projekta mērķis ierobežot personas pamattiesības (īpašumtiesības), tomēr aicinām notiekumu projekta 30.3. apakšpunktu precizēt, lai tā saturs būtu nepārprotams.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31.4.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uz mājokļa īpašnieka pilnvaras pamata ir tiesīgs veikt nepieciešamās darbības, tai skaitā ierosināt būvniecību, lai nodrošinātu mērķa grupas personas mājokļa vides pielāgošanu;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 nodrošina, ka normatīvajos aktos par Atveseļošanas fonda plāna īstenošanas un uzraudzības kārtību un Eiropas Parlamenta un Padomes Regulas (ES) 2021/241 (2021. gada 12. februāris), ar ko izveido Atveseļošanas un noturības mehānismu (turpmāk – Regula Nr. 2021/241), 22. panta 2. punkta e) apakšpunktā minētajām institūcijām projekta īstenošanas laikā un visā šo noteikumu 29.11. apakšpunktā noteiktā dokumentu glabāšanas termiņā ir pieejami visi ar projekta īstenošanu saistītie dokumentu oriģināli un grāmatvedības sistēmas dati. Dokumentu un datu pieejamību nodrošina vadības informācijas sistēmā vai pie finansējuma saņēmēja. Ja dokumenti un dati ir pieejami tikai pie finansējuma saņēmēja, nodrošina tās iesniegšanu institūcijai, kas atbilstoši normatīvajos aktos par  Atveseļošanas fonda plāna īstenošanas un uzraudzības kārtību noteiktajai kompetencei to pieprasa, kā arī nepieciešamības gadījumā nodrošina informācijas pieejamību Latvijas Republikas un Eiropas Komisijas finansēšanas nolīgumā par Atveseļošanas un noturības mehānismu minētajām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noformēt atsauci uz regulu saskaņā ar Ministru kabineta 2009. gada 3. februāra noteikumu  Nr. 108 "Normatīvo aktu projektu sagatavošanas noteikumi" 171. punkta noteikumiem, kā arī korekti izmantot pieteikto regulas nosaukuma saīsinājumu turpmākajās noteikumu projekta vienībās.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attiecas arī uz noteikumu projekta 29.13. un 29.14.apakšpunktu.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precizētas atsauces uz regulām atbilstoši normatīvajos aktos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31.13. nodrošina, ka normatīvajos aktos par Atveseļošanas fonda plāna īstenošanas un uzraudzības kārtību un Eiropas Parlamenta un Padomes 2021. gada 12. februāra regulas (ES)  Nr. 2021/241, ar ko izveido Atveseļošanas un noturības mehānismu (turpmāk – Regula Nr. 2021/241), 22. panta 2. punkta e) apakšpunktā minētajām institūcijām projekta īstenošanas laikā un visā šo noteikumu </w:t>
            </w:r>
            <w:r w:rsidR="00000000" w:rsidRPr="00000000" w:rsidDel="00000000">
              <w:rPr>
                <w:rtl w:val="0"/>
              </w:rPr>
              <w:t xml:space="preserve">31.12. </w:t>
            </w:r>
            <w:r w:rsidR="00000000" w:rsidRPr="00000000" w:rsidDel="00000000">
              <w:rPr>
                <w:rtl w:val="0"/>
              </w:rPr>
              <w:t xml:space="preserve">apakšpunktā</w:t>
            </w:r>
            <w:r w:rsidR="00000000" w:rsidRPr="00000000" w:rsidDel="00000000">
              <w:rPr>
                <w:rtl w:val="0"/>
              </w:rPr>
              <w:t xml:space="preserve"> noteiktā dokumentu glabāšanas termiņā ir pieejami visi ar projekta īstenošanu saistītie dokumentu oriģināli un grāmatvedības sistēmas dati. Dokumentu un datu pieejamību nodrošina vadības informācijas sistēmā vai pie finansējuma saņēmēja. Ja dokumenti un dati ir pieejami tikai pie finansējuma saņēmēja, nodrošina tās iesniegšanu institūcijai, kas atbilstoši normatīvajos aktos par  Atveseļošanas fonda plāna īstenošanas un uzraudzības kārtību noteiktajai kompetencei to pieprasa, kā arī nepieciešamības gadījumā nodrošina informācijas pieejamību Latvijas Republikas un Eiropas Komisijas finansēšanas nolīgumā par Atveseļošanas un noturības mehānismu minētajām iestādēm;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29.15. nodrošina informācijas un publicitātes pasākumus saskaņā ar Regulas Nr. 2021/241 34. pantu un Eiropas Komisijas un Latvijas Republikas Atveseļošanas un noturības mehānisma finansēšanas nolīguma 10. pantu, kā arī normatīvajos aktos par Atveseļošanas fonda plāna īstenošanas un uzraudzības kārtību noteiktās publicitātes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"kā arī normatīvajos aktos par Atveseļošanas fonda plāna īstenošanas un uzraudzības kārtību noteiktās publicitātes prasības.". Vēršam uzmanību, ka publicitātes prasības ir noteiktas Eiropas Savienības fondu 2021.–2027. gada plānošanas perioda un Atveseļošanas fonda komunikācijas un dizaina vadlīnijās.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31.16. apakšpunkts (iepriekš 29.15.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31.16. nodrošina informācijas un publicitātes pasākumus saskaņā ar Regulas Nr. 2021/241 34. pantu un Eiropas Komisijas un Latvijas Republikas Atveseļošanas un noturības mehānisma finansēšanas nolīguma 10.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29.16. uzkrāj informāciju par atbalstu saņēmušām šo noteikumu 4. punktā minētajām mērķa grupas personām, lai nodrošinātu Regulas Nr. 2021/241, ar ko izveido Atveseļošanas un noturības mehānismu, 22. panta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"ar ko izveido Atveseļošanas un noturības mehānismu", ņemot vērā iepriekš noteikto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31.17. apakšpunkts (iepriekš 29.16.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31.17. uzkrāj informāciju par atbalstu saņēmušām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minētajām mērķa grupas personām, lai nodrošinātu Regulas Nr. 2021/241 22. panta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aģentūra līgumā noteiktā kārtībā pārbauda iesniegto projekta grozījumu lietderību, pamatotību un nepieciešamību, bet plānoto progresa pārskatu iesniegšanas grafika vai iepirkumu plāna grozījumus pieņem zināšanai vai informē finansējuma saņēmēju par nepieciešamajiem precizējumiem, nosakot arī termiņu precizējumu iesniegšanai;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CFLA Atveseļošanas un noturības mehānisma projektos neveic iepirkumu plānu pārbaudi, lūdzam svītrot no noteikumu projekta 30.2. apakšpunkta vārdus “vai iepirkumu plāna”.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32.2. apakšpunkts (iepriekš 30.2.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aģentūra līgumā noteiktā kārtībā pārbauda iesniegto projekta grozījumu lietderību, pamatotību un nepieciešamību, bet plānoto progresa pārskatu iesniegšanas grafika grozījumus pieņem zināšanai vai informē finansējuma saņēmēju par nepieciešamajiem precizējumiem, nosakot arī termiņu precizējumu iesniegšanai;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ministrijas pienākumu uzskaitījumu ar pienākumu, ka: “nodrošina konsultatīvo un metodoloģisko atbalstu projekta iesniedzējiem, t.sk. pirms projektu iesniegšanas aģentūrā pārliecinoties par projektu iesniedzēju un iesniegumu atbilstību atbalsta programmas nosacījumiem”. Papildinājums ir lūgts, ņemot vērā, ka atbalsts tiek sniegts ierobežota projektu iesniegumu atlases formātā, kā arī ņemot vērā iepriekšējās kārtas pieredzi, kur konstatētas kapacitātes problēmas, paviršības, uz kurām jau varētu vērst uzmanību, šo pienākumu lūdzam izcelt, proti, ka lūdzam tomēr (lai arī trūkst resursu) pārliecināties par atlasīto projekta iesniedzēju administratīvo, finanšu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ir sniegusi un sniegs konsultatīvu atbalstu pašvaldībām projektu sagatavošanā, t.sk. gatavos skaidrojumus un informatīvā seminārā sniegs informāciju par projekta veidlapas aizpildīšanu, atbildēs uz pašvaldību uzdotajiem jautājumiem utt. Ņemot vērā pašvaldību lielo pieredzi projektu īstenošanā, t.sk. ārvalstu finanšu palīdzības projektos, uzskatām, ka tām ir pietiekama administratīvā un finanšu kapacitāte 3.1.2.1.i. investīcijas otrās kārtas projektu īstenošanai.  LM nav  kapacitātes, lai pārliecinātos par projektu veidlapu atbilstību pirms to iesniegšanas KPVIS pārbaudei un līguma slēgšanai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Ministrija: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Mērķa grupas personas iesniegums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3.4.apakšpunktā iekļaut nodarbošanos un piedalīšanos arī vietējā vai reģionālā mēroga sacensībās.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projekta 2., 3., un 4. pielikumā pie mērķa grupas personas nodarbinātības jau ir iekļauts kritērijs, ka persona piedalās nacionālā mēroga sacensībās, kas arī nozīmē, ka mērķa grupas persona piedalās vietēja vai reģionāla mēroga sacensībās.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Mērķa grupas personas iesniegums ar pilnvarojumu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Vadlīnijas kritēriju piemērošanai mērķa grupas personas un tās mājokļa atbilstības noteikšanai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3.4.apakšpunktā iekļaut nodarbošanos un piedalīšanos arī vietējā vai reģionālā mēroga sacensībās.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73.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Vadlīnijas kritēriju piemērošanai mērķa grupas personas un tās mājokļa atbilstības noteikšanai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Vadlīnijas kritēriju piemērošanai mērķa grupas personas un tās mājokļa atbilstības noteikšanai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 kritēriju: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3.7.1apakšpunktu – “nemācās/ nestrādā”, jo pilngadīgām mērķa grupas personām ir nepieciešams paredzēt kritēriju “nemācās/ nestrādā”, tapāt  kā arī bērniem ar invaliditāti 3.10.apakšupnktā.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3.1.2.1.i. investīcijas otrās kārtas pasākuma mērķis ir nodrošināt atbalstu personām ar invaliditāti, kurām ir kustību traucējumi, lai uzlabotu piekļuvi nodarbinātībai un pakalpojumiem. Līdz ar to noteikumu projekts paredz atbalstu mājokļa vides pielāgošanai tikai mērķa grupas personām, kuras mācās, strādā vai nodarbojas ar brīvprātīgo darbu, ar paralimpisko sportu, ir bezdarbnieki, apmeklē dienas aprūpes centru specializētās darbnīcas, saņem “atelpas brīža” pakalpojumu vai aktīvi darbojas NVO, izņemot bērnus no 15-17 gadu vecumam. Papildus lūdzam skatīt skaidrojumu pie izziņas 32. 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Vadlīnijas kritēriju piemērošanai mērķa grupas personas un tās mājokļa atbilstības noteikšanai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Vadlīnijas kritēriju piemērošanai mērķa grupas personas un tās mājokļa atbilstības noteikšanai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3.7.1apakšpunktu – “nemācās/ nestrādā”, jo pilngadīgām mērķa grupas personām ir nepieciešams paredzēt kritēriju “nemācās/ nestrādā”, tapāt  kā arī bērniem ar invaliditāti 3.10.apakšupnktā.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75.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Vadlīnijas kritēriju piemērošanai mērķa grupas personas un tās mājokļa atbilstības noteikšanai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Mērķa grupas personas un tās mājokļa atbilstības izvērtējums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Mērķa grupas persona atbilst trūcīgas/maznodrošinātas </w:t>
            </w:r>
            <w:r w:rsidR="00000000" w:rsidRPr="00000000" w:rsidDel="00000000">
              <w:rPr>
                <w:b w:val="1"/>
                <w:rtl w:val="0"/>
              </w:rPr>
              <w:t xml:space="preserve">mājsaimniecības</w:t>
            </w:r>
            <w:r w:rsidR="00000000" w:rsidRPr="00000000" w:rsidDel="00000000">
              <w:rPr>
                <w:rtl w:val="0"/>
              </w:rPr>
              <w:t xml:space="preserve">  statusam.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izmantot sociālā darba terminoloģiju saskaņā ar normatīvajiem aktiem sociālās palīdzības un sociālo pakalpojumu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 un 4.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Mērķa grupas personas un tās mājokļa atbilstības izvērtējums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Mērķa grupas personas un tās mājokļa atbilstības izvērtējums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4.pielikuma sadaļu papildu kritērji 3.kritēriju, izmantojot sociālā darba terminoloģiju saskaņā ar normatīvajiem aktiem sociālās palīdzības un sociālo pakalpojumu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Mērķa grupas persona atbilst trūcīgas/maznodrošinātas </w:t>
            </w:r>
            <w:r w:rsidR="00000000" w:rsidRPr="00000000" w:rsidDel="00000000">
              <w:rPr>
                <w:u w:val="single"/>
                <w:rtl w:val="0"/>
              </w:rPr>
              <w:t xml:space="preserve">mājsaimniecības  </w:t>
            </w:r>
            <w:r w:rsidR="00000000" w:rsidRPr="00000000" w:rsidDel="00000000">
              <w:rPr>
                <w:rtl w:val="0"/>
              </w:rPr>
              <w:t xml:space="preserve">statusam.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77.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Mērķa grupas personas un tās mājokļa atbilstības izvērtējums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noteikumi stājas spēkā nākamajā dienā pēc to izsludināšanas, ja pašā tiesību aktā nav noteikts cits tā spēkā stāšanās termiņš.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Pamatojuma sadaļā minētā atsauce uz MK protokollēmumu ir par izskatīšanu, nevis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anotācijas 1.2. sadaļas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jau proaktīvi kā vajadzētu pašvaldībām, to sociālajiem dienestiem kontrolēt (publiskās datu bāzes, apliecinājumi, kas jāiesniedz) attiecībā uz anotācijas tekstu: "Savukārt gadījumā, ja telpā tiek veikta saimnieciskā darbība, tad atbilstoši būvniecības jomu reglamentējošiem tiesību aktiem, minētajai telpai vai ēkai jābūt reģistrētam attiecīgajam telpu lietošanas veidam, kas nebūs dzīvojamā telpa. Attiecīgi atbalsts nedzīvojamās telpas vides pielāgošanai netiks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aģentūra pārliecinās par atbilstību izslēgšanas nosacījumiem un projekta atbilstību uzaicinājumā norādītajai informācijai (skat. MKN noteikto -  24.1. apakšpunktā minētajā uzaicinājumā iekļautajai informācijai un šo noteikumu nosacījumiem un izteikto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un tā anotācijā norādīto atskaites punkta Nr. 116 izpildi apliecina finansējuma saņēmēja vadības informācijas sistēmā iesniegta informācija par noslēgtajiem būvdarbu līgumiem mērķa grupas mājokļu vides pielāgošanai. Vienlaikus saskaņā ar noteikumu projekta 19.4. apakšpunktu projekta ietvaros ir atbalstāmas darbības arī vides pieejamības tehnoloģiju, iekārtu, aprīkojuma un cita materiāltehniskā nodrošinājuma iegādei, piegādei un montāžai. Tādējādi secināms, ka vides pieejamības nodrošināšana mājoklī var tikt īstenota arī, veicot tehnoloģiju un iekārtu iegādi, neslēdzot būvdarbu līgumu. Lūdzam papildināt noteikumu projekta anotāciju ar skaidrojumu par to, vai atskaites punkts būs uzskatāms par sasniegtu gadījumā, ja vides pieejamības nodrošināšanai kādā no mājokļiem netiks noslēgts būvdarbu līgums, bet tiks noslēgts pakalpojuma līgums.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7.1.2. apakšpunktā ietvertā atskaites punkta definīcija atbilstoši Eiropas Komisijai iesniegtajiem AF plāna un  CID grozījumiem. Papildināta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lūdzu skatīt izziņas 40.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norādīts, ka noteikumu projekta 19.4. apakšpunktā paredzētās: “atbalstāmās darbības ietvaros attiecināmas tikai tādas izmaksas, kas radušās, veicot tādus mājokļa iekšējās un ārējās vides pieejamības nodrošināšanas būvdarbus vai atjaunošanas darbus un mājokļa ārējās vides labiekārtošanas darbus, kas tieši saistīti ar mērķa grupas personas mājokļa, tai skaitā koplietošanas telpu grupas, vides pieejamību.” Lūdzam papildināt noteikumu anotāciju ar skaidrojumu par to, vai gadījumā, ja ieguldījumus paredzēts veikt kopīpašumā, projekta iesniegumam būs nepieciešams pievienot dokumentāciju, kas apliecina kopīpašuma īpašnieku saskaņojumu šādu ieguldījumu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2021. gada 5. augustā stājās spēkā grozījumi Dzīvokļa īpašuma likumā, un tika grozīta minētā likuma 11. panta piektā daļa, kur ir noteikts, ka dzīvokļa īpašniekam, lai nodrošinātu viņam vai viņa ģimenes loceklim mājokļa un vides pieejamību, ievērojot būvniecības prasības, kā arī iepriekš informējot dzīvokļu īpašnieku kopību (dzīvojamās mājas pārvaldnieku), ir tiesības: 1) uzstādīt pacēlāju dzīvojamās mājas kāpņu telpā; 2) izbūvēt uzbrauktuvi pie dzīvojamās mājas ieejas vai pie dzīvokļa īpašuma, ja tam ir atsevišķa ieeja; 3) veikt citāda veida dzīvojamās mājas kopīpašumā esošās daļas pielāgošanu, lai nodrošinātu sava mājokļa un vides pieejamību. Atbilstoši minētajiem grozījumiem vairs nav nepieciešams paredzēt visu kopīpašnieku rakstveida piekrišanu vai dzīvokļu īpašnieku kopības lēmumu par piekrišanu veikt mājokļa pielāgošanas darbus, ja mājokļa pielāgošanas darbus paredzēts veikt vai tie skars dzīvojamās mājas kopīpašumā esošo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norādīts: “Paredzēts, ka finansējuma saņēmējs būs mājokļa pielāgošanas darbu iniciators un organizētājs, tāpēc ir nepieciešams finansējuma saņēmējam paredzēt īpašas tiesības īstenot ar vides pielāgošanu saistītas darbības personas mājoklī (t.sk., nepieciešamās dokumentācijas sagatavošanu, darbu organizēšanu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to vērā, lūdzam papildināt noteikumu anotāciju ar skaidrojumu, kāda formā tiks nostiprinātas tiesības finansējuma saņēmējam veikt ieguldījumus citas personas īpašumā, kā arī, kādus šīs tiesības apliecinošus dokumentus ir nepieciešams pievienot projekta iesniegumam. Noteikumu projekta pielikumā pievienotajā personas iesniegumā ir norādīta vieta, kur parakstīties īpašniekam, bet CFLA šis iesniegums, iespējams, nebūs pieejams, jo saturēs personas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investīcijas 3.1.2.1.i 2. kārtas projektus un nodrošinot vides pieejamību mērķa grupas personām, var tikt netieši sniegts atbalsts citiem saimnieciskās darbības veicējiem, kas veic saimniecisko darbību ēkā, kuras telpām tiek nodrošināta vides pieejamība. Lūdzam papildināt noteikumu anotāciju ar minētās situācijas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anotāciju, vai investīcijas ietvaros īstenojamie projekti būtu uzskatāmi par stratēģiski svarīgiem un par kuriem būtu veicami īpaši publicitātes pasākumi.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punkta “Risinājuma apraksts” 1.apakšpunktā “Projekta vadība” ietvertajā tabulā  “3.1.2.1.i investīcijas otrās kārtas pasākuma projektu vadības personāla izmaksu aprēķins*” norādīto mēnešalgu grupu un/vai amatu saimi grāmatvedim/finansistam, juriskonsultam/iepirkumu speciālistam un būvinženierim atbilstoši Ministru kabineta 2022.gada 26.aprīļa noteikumu Nr.262 1.pielikumam.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punkta “Risinājuma apraksts” 1.apakšpunktā “Projekta vadība” ietvertās tabulas “3.1.2.1.i investīcijas otrās kārtas pasākuma projektu vadības personāla izmaksu aprēķins*” ailē “Amata saime” norādīt mēnešalgu grupas līmeni projekta vadītājam.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2.punktu, norādot noteikumu projekta īstenošanai nepieciešamo kopējo finansējumu, attiecīgi precizējot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22-TA-3709</w:t>
    </w:r>
    <w:r>
      <w:br/>
    </w:r>
    <w:r w:rsidR="00000000" w:rsidRPr="00000000" w:rsidDel="00000000">
      <w:rPr>
        <w:rtl w:val="0"/>
      </w:rPr>
      <w:t xml:space="preserve">21.08.2023. 17.22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22-TA-3709</w:t>
    </w:r>
    <w:r>
      <w:br/>
    </w:r>
    <w:r w:rsidR="00000000" w:rsidRPr="00000000" w:rsidDel="00000000">
      <w:rPr>
        <w:rtl w:val="0"/>
      </w:rPr>
      <w:t xml:space="preserve">21.08.2023. 17.22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Izziņa_22-TA-3709.docx</dc:title>
</cp:coreProperties>
</file>

<file path=docProps/custom.xml><?xml version="1.0" encoding="utf-8"?>
<Properties xmlns="http://schemas.openxmlformats.org/officeDocument/2006/custom-properties" xmlns:vt="http://schemas.openxmlformats.org/officeDocument/2006/docPropsVTypes"/>
</file>