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21-TA-101: Informatīvais ziņojums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elektroniskās darba laika uzskaites regulējuma efektivitāti un nepieciešamajiem pilnveidojumiem”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17.lpp. pie 3.attēla nosaukuma “3.attēls. Ēnu ekonomikas indekss Latvijā un būvniecības nozarē 2015.– 2020. gadā, % no IKP.” norādīt arī datu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pievērst uzmanību attēlu secīgai numerācijai un attiecīgajām atsauksmēm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lai arī projektā ir norādīti vārdkopu elektroniskā darba laika uzskaite", "elektroniskās darba laika uzskaites sistēma", "vienotā elektroniskās darba laika uzskaites datubāze", "nodokļu maksātājs", "pievienotās vērtības nodoklis", "darba devēja ziņojums", "valsts sociālās apdrošināšanas obligātās iemaksas" un "iedzīvotāju ienākuma nodoklis" saīsinājumi, projekta tekstā tie lielākoties netiek lietoti. Ievērojot minēto, lūdzam precizēt projektu atbilstoši projektā lietotajiem saīsinājumiem.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sadaļas 4.tabulā izslēgt kolonnu “Izmaiņas (2021.gads – 2019.gads)”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- 2021.gadā nodokļu kontroles skaita samazinājumu ietekmēja ārkārtējās situācijas izsludināšana valstī, tādējādi  vērtēt konstatētos pārkāpumus salīdzinājumā ar iepriekšējiem periodiem nav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ietverts pamatojums pārbaužu skaita samazinājumam, norādot uz Covid-19 pandēmijas ietemi un VID noslodzi uzņēmēju atbalsta pasākumu īstenošanā. Nav pamata izslēgt informāciju par īstenotiem EDLU uzraudzības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2.4.sadaļas otrās rindkopas 8.rindā izslēgt vārdus “(skatīt 9.attēlu)”.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daļas  trešās rindkopas 2.punktā aizvietot vārdus ’’kuri attiecīgi nav deklarējuši”  ar vārdiem “kuriem attiecīgi nav deklarēti”.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Ceturtās daļas pirmo punktu papildināt ar šādu tekstu -  “VID rīcībā nav pieejama informācija par nepieciešamo (prognozēto) cilvēkstundu apjomu (darbietilpību) objektu griezumā, kā arī  nodokļu maksātāji VID iesniegtajos darba devēja ziņojumos nedeklarē nodarbinātajiem aprēķināto atalgojumu un nodokļus objektu griezumā. Nodokļu maksātāju nodarbinātie, lielākoties vienlaicīgi darbu veic vairākos būvobjektos, tai skaitā var būt nodarbināti objektos, kuri neatbilst EDLUS ieviešanas kritērijiem un VID deklarē pārskata mēneša kopējos datus. Līdz ar to VID analizējot un vērtējot VEDLUDB datus, pārbaudēs konstatēto par nodarbināto darba stundām, atalgojuma likmēm, virsstundām un EDLUS datus, nereģistrēšanās gadījumus, iegūtos rādītājus salīdzina ar konkrētu nodokļu maksātāju VID iesniegtajos darba devēja ziņojumos deklarēto kopējo pārskata mēneša atalgojumu un aprēķinātajiem nodokļiem. Ņemot vērā, ka VID rīcībā nav informācijas par nepieciešamo cilvēkstundu apjomu objektu griezumā, turklāt VID kompetencē nav ekonomisko rādītāju  izvērtēšana, VID uzskata, ka minētajā gadījumā par padziļinātu vērtējumu būvobjektu līmenī jāvērtē iespēja deleģēt šādu uzdevumu lietpratējiem būvniecības jomā, piemēram Ekonomikas ministrijas pārraudzībā esošajam Būvniecības valsts kontroles birojam. VID nodokļu uzskaite netiek veikta būvobjektu līmenī, VID nav pieejama arī informācija par būvobjektu izmaksām, līdz ar to VID var veikt analīzi un aplēses par ēnu ekonomikas un nodokļu nemaksāšanas riskiem vienīgi nodokļu maksātāju līmenī. Ņemot vērā šobrīd VID pieejamo informācijas apjomu, ar pietiekami augstu ticamību VID spēs identificēt nodokļu maksātājus, kuru darījumu lielāko daļu veido VEDLUDB režīmā būvējamie objekti, un izdarīt secinājumus par šiem nodokļu maksātājiem raksturīgiem nodokļu saistību izpildes riskiem. VID no savas puses ir gatavs sniegt visu tā rīcībā esošo informāciju, kurai būtu nozīme EDLU efektivitātes izvērtēšanā”.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ka analīze par ēnu ekonomikas esamību un tās izpausmēm objektu līmenī būtu piekrītīga Būvniecības valsts kontroles birojam. Būvniecības valsts kontroles biroja kompetence ir noteikta Būvniecības likuma 6.</w:t>
            </w:r>
            <w:r w:rsidR="00000000" w:rsidRPr="00000000" w:rsidDel="00000000">
              <w:rPr>
                <w:vertAlign w:val="superscript"/>
                <w:rtl w:val="0"/>
              </w:rPr>
              <w:t xml:space="preserve">1 </w:t>
            </w:r>
            <w:r w:rsidR="00000000" w:rsidRPr="00000000" w:rsidDel="00000000">
              <w:rPr>
                <w:rtl w:val="0"/>
              </w:rPr>
              <w:t xml:space="preserve">pantā, Būvniecības valsts kontroles biroja funkcijas attiecas uz būvniecības tiesiskuma kontroli, kontroles mērķis ir nodrošināt sabiedrības interešu aizsardzību būvniecības procesā, kā arī uzraudzīt ekspluatācijas tisiskumu, lai mazinātu normatīvajam regulējumam neatbilstošu un nedrošu publisko būvju būvniecības risku. Būvniecības valsts kontroles biroja darbinieki pamatā ir būvspeciālisti, kuru kompetence attiecas uz būves un būvniecības procesa atbilstību normatīvo aktu prasībām. Papildus jāņem vērā, ka Valsts ieņēmumu dienestam ir piešķirta plaša kompetence nodokļu administrēšanas jautājumos, tai skaitā tiesības iepazīties ar būvkomersantu finanšu vadības dokumentiem, kas ir nepieciešami, lai novērtētu iespējamo komersanta darbību ēnu ekonomikā, kā arī ēnu ekonomikas izpausmes. Ekonomikas ministrija ir gatava sniegt atbalstu metodoloģijas izstrādē ēnu ekonomikas novērtēšanai objektu līmenī.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Ceturtās daļas trešajā punktā  svītrot rindkopu “Lai novērtētu EDLU darbības efektivitāti, būtu jāsaprot būvniecības objektu griezumā cik gadījumos ir konstatētas atšķirības, kas atbilst likuma “Par nodokļiem un nodevām” 115.panta otrajā daļā paredzētai vērtībai. Tāpat būtu jāsaprot cik gadījumos atšķirība pārsniedz pieļaujamo vērtību un kādā veidā EDLU dati tika izmantoti darba spēka nodokļu administrēšanas procesā un vai VID bija radušās problēmas ar EDLU datu izmantošanu. Pamatojums - VID pieejamie VEDLUDB dati EDLU darbības efektivitātes novērtēšanai nav izmantojami būvniecības objektu griezumā, lai noteiktu, cik gadījumos ir konstatētas atšķirības, kas atbilst “Likuma  par nodokļiem un nodevām” 115. panta otrajā daļā paredzētai vērtībai, jo nodokļu maksātāji VID iesniegtajos ziņojumos pārskata mēnesī deklarē konkrēta pārskata mēneša kopējos katra darba ņēmēja ienākumus un kopējās nostrādātās stundas. Darbinieki var būt nodarbināti vairākos būvlaukumos, tai skaitā tādos, kuri neatbilst EDLUS ieviešanas kritērijiem. VID iesniegtajos ziņojumos pārskata mēnesī  netiek deklarēti darba ņēmēja ienākumi un nostrādātās stundas būvobjekta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attiecīgajā rindkopā ir svītroti vārdi "būvniecības objektu griezumā". Likuma "Par nodokļiem un nodevām" 115.panta trešā daļa paredz tiesības Vasts ieņēmumu dienestam izmantot elektroniskās darba laika uzskaites datus darba algas nodokļu administrēšanai. Tas bija viens no mērķiem elektroniskās darba laika sistēmas ieviešanai, tas nodrošina sistēmas efektivitāti. Ekonomikas ministrija piekrīt, ka ne vienmēr būs iespējams novērtēt darba laika atšķirību objekta griezumā, jo darbinieks var strādāt vairākos objektos. Taču būtu jāsaprot vai izveidotā sistēma ir darboties spējīga, proti vai Valsts ieņēmumu dienestam ir radīta iespēja praksē iedarbināt 115.panta trešajā daļā paredzēto regulējumu, kā arī būtu jāsniedz priekšlikumi par nepieciešamiem regulējuma pilnveidojumiem, lai efektīvi izmantotu elektroniskās darba laika uzskaites sistēmas datus nodokļu administrēšanā.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Ceturtās daļas trešo punktu papildināt  - "VID VEDLUDB pieejamie dati ir nozīmīgs informācijas avots darbam ar būvniecības nozares komersantiem “aplokšņu algu” apkarošanā. Ievērojot, ka EDLUS dati var tikt izmantoti kā pierādījums samazinātā ar nodokļiem un nodevām apliekamā objekta noteikšanā, tad datu izvērtēšanas procesā tiek vērsta liela uzmanība uz nostrādāto stundu skaita atšķirībām, kas tiek salīdzinātas ar VEDLUDB datiem un darba devēja ziņojumos deklarētajiem datiem. VID VEDLUDB dati tiek izmantoti nodarbināto personu EDLUS reģistrētā darba laika salīdzināšanai ar VID datubāzē pieejamo informāciju, kas iegūta no iesniegtajiem darba devēju ziņojumiem, un risku identificēšanas gadījumā darbam ar konkrētu nodokļu maksātāju nodokļu nomaksas administrēšanas, uzraudzības, monitoringa procesā, kā arī kontroles pasākumu veikšanai būvlaukumos".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Ceturtās daļas ceturtajā punktā svītrot pēdējo rindkopu “Lai kompleksi novērtētu EDLU sistēmas darbību, ir nepieciešams analizēt un vērtēt VID konstatētos EDLU regulējuma pārkāpumus kopsakarā ar piemēroto administratīvo atbildību.“ Pamatojums - VID ieskatā likumā “Par nodokļiem un nodevām” iekļautajai normai, kas paredz administratīvo atbildību par EDLU regulējuma pārkāpumiem, ir skaidra piemērošanas politika. Informatīvā ziņojuma projekta 2.1. sadaļā ir sniegta informācija par pārkāpumiem EDLUS normatīvā regulējuma neievērošanā un piemēroto administratīvo sodu apmēriem.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pēdējā rindkopa ir redakcionāli precizēta, norādot, ka būtu jāturpina sekot līdzi konstatētiem pārkāpumiem un piemērotiem sodiem par elektroniskās darba laika uzskaites jautājumos. Ņemot vērā, ka sodi darbojas tikai īsu laika periodu, būtu jānovērtē sodu politikas efektivitāte.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Ceturtās daļas piekto punktu papildināt ar šādu tekstu - VID nosakot nodokļu nenomaksas riskus iespējamam “fiktīvam” apakšuzņēmējam, tiek izmantota visa VID rīcībā esošā informācija, bet VEDLUDB dati ir viens no papildu informācijas avotiem. Turklāt apakšuzņēmēju “ķēdēs” ar mērķi iegūt skaidras naudas līdzekļus aplokšņu algām var tikt izmantoti gan iekšzemes, gan pārrobežu darījumi ar komersantiem, kuri faktiski nav iesaistīti būvniecības procesos un par kuriem nav EDLU datu, bet kuri, piemēram, veido materiālu piegāžu ķēdes, ja normatīvo aktu regulējums nav ierobežojis “starpnieku” iesaistīšanos apakšuzņēmēju “ķēdēs”. VID līdzšinējā praksē, veicot EDLU pārbaudes būvobjektos un aptaujājot darbiniekus, nav identificējis gadījumus, kuros pārbaudes brīdī EDLU būtu reģistrētas apakšuzņēmumu nodarbinātas personas, kas faktiski pārbaudes brīdī neveic darbu būvobjektā, un kuri liecinātu par apakšuzņēmuma darbības fiktīvu raksturu. VID ieskatā šādu izvērtēšanu varētu veikt, uzraugot būvniecības procesu, Ekonomikas ministrijas pārraudzībā esošais Būvniecības valsts kontroles birojs.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rīcībā nav visi dati, kas ir nepieciešami šāda uzdevuma veikšanai. Būvniecības valsts kontroles birojs var veikt VEDLUDB datu novērtēšanu un analīzi, proti, novērtēt vai katrs apakšuzņēmējs, ar kuru ir noslēgts apakšuzņēmēju līgums, faktiski ar savu darba spēku veic darbus objektā. Ekonomikas ministrija piekrīt Finanšu ministrijas apgalvojumam, ka apakšuzņēmēji var veikt piegādes objektam vai sniegt objektīvi nepieciešamos pakalpojumus būvdarbu līguma izpildei ar savu personālu, neesot objektā uz vietas. Lai izdarītu objektīvus secinājumus par apakšuzņēmēja iesaistes būvdarbu līgumā patiesumu, būtu jāveic padziļinātā analīze, izmantojot VID rīcībā esošus datus par uzņēmuma saimniecisko darbību.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protokollēmuma 2.punktu, svītrojot dublējošo tekstu "līdz 2024.gada 1.martam".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rīkojumu, svītrojot vienu no dubultā ietvertajiem datumiem.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"Ministru kabineta kārtības rullis" 76. punktam ministrijas izstrādātu informatīvā ziņojuma projektu izskatīšanai Ministru kabineta komitejas sēdē vai Ministru kabineta sēdē ir tiesīgs iesniegt Ministru kabineta loceklis (ministrs). Ievērojot minēto, lūdzam precizēt projektam pievienotā Ministru kabineta sēdes protokollēmuma (turpmāk – protokollēmuma projekts)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protokollēmuma projekta 2. punktā vārdi "līdz 2024. gada 1. martam" minēti divas reizes. Ievērojot minēto, lūdzam precizēt protokollēmuma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21-TA-101</w:t>
    </w:r>
    <w:r>
      <w:br/>
    </w:r>
    <w:r w:rsidR="00000000" w:rsidRPr="00000000" w:rsidDel="00000000">
      <w:rPr>
        <w:rtl w:val="0"/>
      </w:rPr>
      <w:t xml:space="preserve">03.06.2022. 21.04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21-TA-101</w:t>
    </w:r>
    <w:r>
      <w:br/>
    </w:r>
    <w:r w:rsidR="00000000" w:rsidRPr="00000000" w:rsidDel="00000000">
      <w:rPr>
        <w:rtl w:val="0"/>
      </w:rPr>
      <w:t xml:space="preserve">03.06.2022. 21.04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Izziņa_21-TA-101.docx</dc:title>
</cp:coreProperties>
</file>

<file path=docProps/custom.xml><?xml version="1.0" encoding="utf-8"?>
<Properties xmlns="http://schemas.openxmlformats.org/officeDocument/2006/custom-properties" xmlns:vt="http://schemas.openxmlformats.org/officeDocument/2006/docPropsVTypes"/>
</file>