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(21.03.2025.)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13.04.2026. 10:59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gadījumā, </w:t>
            </w:r>
            <w:r w:rsidR="00000000" w:rsidRPr="00000000" w:rsidDel="00000000">
              <w:rPr>
                <w:u w:val="single"/>
                <w:rtl w:val="0"/>
              </w:rPr>
              <w:t xml:space="preserve">ja lēmumu apstrīd augstākā iestādē, tad augstāka iestāde to izskata saskaņā ar Administratīvā procesa likuma 81. pantā ietverto regulējumu, un tādā veidā tas iegūst savu galīgo noformējumu un to var pārsūdzēt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kas minēts projekta anotācijā par to, ka </w:t>
            </w:r>
            <w:r w:rsidR="00000000" w:rsidRPr="00000000" w:rsidDel="00000000">
              <w:rPr>
                <w:u w:val="single"/>
                <w:rtl w:val="0"/>
              </w:rPr>
              <w:t xml:space="preserve">Administratīvā procesa likums paredz iestādei tiesības grozīt lēmumu, ir cits procesuālais mehānisms, kuru paredz Administratīvā procesa likuma 83. pants, bet tajā nav paredzēts apstrīdēšanas process, jo personas sūdzība nav apstrīdēšanas iesniegums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anotācijā ietverto informāciju par projektā paredzētajā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noteikumi) 43.</w:t>
            </w:r>
            <w:r w:rsidR="00000000" w:rsidRPr="00000000" w:rsidDel="00000000">
              <w:rPr>
                <w:vertAlign w:val="superscript"/>
                <w:rtl w:val="0"/>
              </w:rPr>
              <w:t xml:space="preserve">1</w:t>
            </w:r>
            <w:r w:rsidR="00000000" w:rsidRPr="00000000" w:rsidDel="00000000">
              <w:rPr>
                <w:rtl w:val="0"/>
              </w:rPr>
              <w:t xml:space="preserve">1. apakšpunktā ietverto regulējumu, ka arī projektā paredzētajā noteikumu 43.</w:t>
            </w:r>
            <w:r w:rsidR="00000000" w:rsidRPr="00000000" w:rsidDel="00000000">
              <w:rPr>
                <w:vertAlign w:val="superscript"/>
                <w:rtl w:val="0"/>
              </w:rPr>
              <w:t xml:space="preserve">1</w:t>
            </w:r>
            <w:r w:rsidR="00000000" w:rsidRPr="00000000" w:rsidDel="00000000">
              <w:rPr>
                <w:rtl w:val="0"/>
              </w:rPr>
              <w:t xml:space="preserve">1.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33. pants paredz regulējumu par </w:t>
            </w:r>
            <w:r w:rsidR="00000000" w:rsidRPr="00000000" w:rsidDel="00000000">
              <w:rPr>
                <w:u w:val="single"/>
                <w:rtl w:val="0"/>
              </w:rPr>
              <w:t xml:space="preserve">administratīvā procesa dalībnieku procesuālo tiesību pārņemšanu</w:t>
            </w:r>
            <w:r w:rsidR="00000000" w:rsidRPr="00000000" w:rsidDel="00000000">
              <w:rPr>
                <w:rtl w:val="0"/>
              </w:rPr>
              <w:t xml:space="preserve">, proti, atbilstoši šā panta pirmajā un otrajā daļā noteiktajam, </w:t>
            </w:r>
            <w:r w:rsidR="00000000" w:rsidRPr="00000000" w:rsidDel="00000000">
              <w:rPr>
                <w:u w:val="single"/>
                <w:rtl w:val="0"/>
              </w:rPr>
              <w:t xml:space="preserve">ja kāds no administratīvā procesa dalībniekiem lietā izstājas (fiziskās personas nāve, juridiskās personas izbeigšanās u.c.), iestāde vai tiesa var aizstāt šo administratīvā procesa dalībnieku ar viņa tiesību pārņēmēju. Procesuālo tiesību pārņemšana iespējama jebkurā procesa stadijā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2. apakšpunktā ietverto regulējumu, kā arī projektā paredzētajā noteikumu 43.</w:t>
            </w:r>
            <w:r w:rsidR="00000000" w:rsidRPr="00000000" w:rsidDel="00000000">
              <w:rPr>
                <w:vertAlign w:val="superscript"/>
                <w:rtl w:val="0"/>
              </w:rPr>
              <w:t xml:space="preserve">1</w:t>
            </w:r>
            <w:r w:rsidR="00000000" w:rsidRPr="00000000" w:rsidDel="00000000">
              <w:rPr>
                <w:rtl w:val="0"/>
              </w:rPr>
              <w:t xml:space="preserve">2. 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2. apakšpunkts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likums paredz, ka </w:t>
            </w:r>
            <w:r w:rsidR="00000000" w:rsidRPr="00000000" w:rsidDel="00000000">
              <w:rPr>
                <w:u w:val="single"/>
                <w:rtl w:val="0"/>
              </w:rPr>
              <w:t xml:space="preserve">iestādes izdotu administratīvo aktu var apstrīdēt augstākā iestādē, un augstākas iestādes izdotu administratīvo aktu var pārsūdzēt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likumā noteiktajam augstākā iestādē var iesniegt, piemēram, </w:t>
            </w:r>
            <w:r w:rsidR="00000000" w:rsidRPr="00000000" w:rsidDel="00000000">
              <w:rPr>
                <w:u w:val="single"/>
                <w:rtl w:val="0"/>
              </w:rPr>
              <w:t xml:space="preserve">iesniegumu par administratīvā akta apstrīdēšanu</w:t>
            </w:r>
            <w:r w:rsidR="00000000" w:rsidRPr="00000000" w:rsidDel="00000000">
              <w:rPr>
                <w:rtl w:val="0"/>
              </w:rPr>
              <w:t xml:space="preserve">, bet tiesā var iesniegt, piemēram, </w:t>
            </w:r>
            <w:r w:rsidR="00000000" w:rsidRPr="00000000" w:rsidDel="00000000">
              <w:rPr>
                <w:u w:val="single"/>
                <w:rtl w:val="0"/>
              </w:rPr>
              <w:t xml:space="preserve">pieteikumu par lietas ierosināšanu tiesā, apelācijas sūdzību vai kasācijas sūdzību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piemēram, Administratīvā procesa likuma 64. panta pirmajā un otrajā daļā ir noteikts, </w:t>
            </w:r>
            <w:r w:rsidR="00000000" w:rsidRPr="00000000" w:rsidDel="00000000">
              <w:rPr>
                <w:u w:val="single"/>
                <w:rtl w:val="0"/>
              </w:rPr>
              <w:t xml:space="preserve">kādā termiņā iestāde pieņem lēmumu par administratīvā akta izdošanu, pieņem ja administratīvā lieta ierosināta uz iesnieguma pamata, kā arī noteikts, kā var pagarināt šī lēmuma par administratīvā akta izdošanu termiņu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piemēram, Administratīvā procesa likuma 83. pantā </w:t>
            </w:r>
            <w:r w:rsidR="00000000" w:rsidRPr="00000000" w:rsidDel="00000000">
              <w:rPr>
                <w:u w:val="single"/>
                <w:rtl w:val="0"/>
              </w:rPr>
              <w:t xml:space="preserve">nav paredzēts apstrīdēšanas process, jo personas sūdzība nav iesniegums par administratīvā akta apstrīdēšanu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3. 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3. apakšpunkts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"Ņemot vērā, ka 2023.–2027. gada plānošanas periodā Regulas 2021/2116 12. pantā noteikts, ka sertifikācijas struktūra var būt gan publiska, gan privāta revīzijas struktūra, ZM uzskata, ka noteikumos Nr. 50 nebūtu pareizi fiksēt sašaurinātu izvēli, jo gadījumā, ja mainās tirgus situācija un citi apstākļi, un tiek pieņemts lēmums, ka saimnieciski izdevīgāka izvēle ir par labu vienai, vai otrai opcijai (publiskai vai privātai revīzijas struktūrai), tad mazāks administratīvais slogs būs šo izvēli veikt ZM iekšējo normatīvo aktu ietvaros, nevis izdarot kārtējos grozījumus noteikumos Nr. 50." Ja nākotnē tiktu izvēlēta privāta revīzijas struktūra, aicinām izvērtēt un sniegt skaidrojumu, saskaņā ar kādu tiesisko regulējumu un kādā procedūrā tas tiktu darīts un vai attiecīgi nav nepieciešams kāds tiesiskais regulējums šajos noteikumos, tostarp skaidrojot, kā attiecīgā situācijā tiktu ievērots Eiropas Parlamenta un Padomes 2021. gada 2. decembra Regulas (ES) 2021/2116 par kopējās lauksaimniecības politikas finansēšanu, pārvaldību un uzraudzību un ar ko atceļ Regulu (ES) Nr. 1306/2013 12. panta 1. punktā paredzētais: "</w:t>
            </w:r>
            <w:r w:rsidR="00000000" w:rsidRPr="00000000" w:rsidDel="00000000">
              <w:rPr>
                <w:i w:val="1"/>
                <w:rtl w:val="0"/>
              </w:rPr>
              <w:t xml:space="preserve">Sertifikācijas struktūra ir publiska vai privāta revīzijas struktūra, ko dalībvalsts izraudzījusies uz vismaz trim gadiem, neskarot valsts tiesību aktus. Ja tā ir privāta revīzijas struktūra </w:t>
            </w:r>
            <w:r w:rsidR="00000000" w:rsidRPr="00000000" w:rsidDel="00000000">
              <w:rPr>
                <w:i w:val="1"/>
                <w:u w:val="single"/>
                <w:rtl w:val="0"/>
              </w:rPr>
              <w:t xml:space="preserve">un ja to prasa piemērojamie Savienības vai valsts tiesību akti, dalībvalsts to izvēlas publiskā konkursa procedūrā</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sekojošu skaidrojumu: "Saskaņā ar Regulas (ES) 2021/2116  8. pantu par sertifikācijas struktūras izraudzīšanos ir atbildīga Kompetentā iestāde, kas atbilstoši noteikumu Nr. 50 4. punktam ir ZM izveidota koleģiāla struktūra un kurai ir noteikta kārtība, kādā tā darbojas un pieņem lēmumus. Līdz ar to ZM kā Kompetentā iestāde izvērtē saimnieciski izdevīgāko variantu un saskaņā ar noteikto kārtību pieņem lēmumu par sertifikācijas struktūras izvēli. Ja tiktu nolemts izvēlēties privātu revīzijas struktūru, tad atlase tiktu īstenota publisko iepirkumu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27.03.2026. 10:49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ietvertā informācija par projektā paredzēto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noteikumi) 43.</w:t>
            </w:r>
            <w:r w:rsidR="00000000" w:rsidRPr="00000000" w:rsidDel="00000000">
              <w:rPr>
                <w:vertAlign w:val="superscript"/>
                <w:rtl w:val="0"/>
              </w:rPr>
              <w:t xml:space="preserve">1</w:t>
            </w:r>
            <w:r w:rsidR="00000000" w:rsidRPr="00000000" w:rsidDel="00000000">
              <w:rPr>
                <w:rtl w:val="0"/>
              </w:rPr>
              <w:t xml:space="preserve">1. apakšpunktā ietverto regulējumu neatbilst projektā izteiktajam noteikumu 43.</w:t>
            </w:r>
            <w:r w:rsidR="00000000" w:rsidRPr="00000000" w:rsidDel="00000000">
              <w:rPr>
                <w:vertAlign w:val="superscript"/>
                <w:rtl w:val="0"/>
              </w:rPr>
              <w:t xml:space="preserve">1</w:t>
            </w:r>
            <w:r w:rsidR="00000000" w:rsidRPr="00000000" w:rsidDel="00000000">
              <w:rPr>
                <w:rtl w:val="0"/>
              </w:rPr>
              <w:t xml:space="preserve">1. apakšpunkta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gadījumā, ja lēmumu apstrīd augstākā iestādē, tad augstāka iestāde to izskata saskaņā ar Administratīvā procesa likuma 81. pantā ietverto regulējumu, un tādā veidā tas iegūst savu galīgo noformējumu un to var pārsūdzēt tiesā. Tas, kas minēts anotācijā par to, ka arī pēc iestādes gala lēmuma pieņemšanas iestāde var grozīt lēmumu, ir cits procesuālais mehānisms, kuru paredz Administratīvā procesa likuma 83. pants, bet tajā nav paredzēts apstrīdēšanas process, jo personas sūdzība nav apstrīdēšanas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1. apakšpunktā ietverto regulējumu vai precizēt projektu atbilstoši anotācijas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 kā arī ir precizēts noteikumu Nr. 50 34.</w:t>
            </w:r>
            <w:r w:rsidR="00000000" w:rsidRPr="00000000" w:rsidDel="00000000">
              <w:rPr>
                <w:vertAlign w:val="superscript"/>
                <w:rtl w:val="0"/>
              </w:rPr>
              <w:t xml:space="preserve">1</w:t>
            </w:r>
            <w:r w:rsidR="00000000" w:rsidRPr="00000000" w:rsidDel="00000000">
              <w:rPr>
                <w:rtl w:val="0"/>
              </w:rPr>
              <w:t xml:space="preserve">1. apakšpunkts, to izsakot sekojošā redakcijā: ja atbalsta saņēmējs ir apstrīdējis Lauku atbalsta dienesta lēmumu, ar kuru noraidīts maksājums par projekta vai pieteikuma īstenošanu, un ir stājies spēkā atbalsta saņēmējam labvēlīgs tiesas spriedums vai Lauku atbalsta dienests pēc savas iniciatīvas vai atbalsta saņēmēja iesnieguma ir atcēlis lēmumu, ar kuru noraidīts maksājums par projekta vai pieteikuma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punkta pamatojumā (skat anotācijas 1.3. apakšsadaļas otrās problēmas apraksta b) apakšpunktu) skaidrots, ka atbalsta saņēmēja saistību pārņēmējiem gadījumos, kad tie pārņēmuši atbalsta saņēmēja saistības (kā fiziskas, tā juridiskas personas gadījumā), piemēram, uz lauksaimniecības zemes platību maksājumiem, kurus finansē no ELGF, var pieteikties atbalsta saņēmēja saistību pārņēmēji pēc ilgāka perioda un noilgumu atbalsta izmaksai nevar piemērot, jo saistību pārņemšanas tiesības nevar ierobežot. Lūdzam anotācijā ietvert skaidrojumu un pamatojumu anotācijā ietvertajam apgalvojumam, ka </w:t>
            </w:r>
            <w:r w:rsidR="00000000" w:rsidRPr="00000000" w:rsidDel="00000000">
              <w:rPr>
                <w:u w:val="single"/>
                <w:rtl w:val="0"/>
              </w:rPr>
              <w:t xml:space="preserve">nevar piemērot noilgumu atbalsta izmaksai, jo saistību pārņemšanas tiesības nevar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Civillikuma 893. pants noteic, ka saistību tiesības izbeidzas, ja tiesīgā persona tās pienācīgi neizlieto likuma noteiktā noilguma termiņā. Savukārt saskaņā ar Civillikuma 895. pantu visas saistību tiesības, kuras nav noteikti izņemtas no noilguma ietekmes un kuru izlietošanai nav likumā noteikti īsāki termiņi, izbeidzas, ja tiesīgā persona tās neizlieto desmit gadu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svītrots apgalvojums par to, ka nevar piemērot noilgumu atbalsta izmaksai, jo saistību pārņemšanas tiesības nevar ierobežot.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3. apakšpunktā ietverto regulējumu, norādot, kas ir tajā minētā sūdzība un galīgais lēmums (proti, kāda procesa ietvaros sūdzība tiek iesniegta un izskatīta, kā arī pieņemts gala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iekļauta atsauce uz Administratīvā procesa likumu, kā arī ir precizēts, ka runa ir par Lauku atbalsta dienesta lēmumu, kas tiek izdots administratīvā akta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2. apakšpunktā ietverto regulējumu, norādot, kāda procesa ietvaros tiek pārņemtas atbalsta saņēmēja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atsauce uz Administratīvā procesa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izvērstāk skaidrot izvēlēto risinājumu noteikumu 8. punktā (projekta 1. punktā) paredzēt, ka Eiropas Lauksaimniecības garantiju fonda (ELGF) un Eiropas Lauksaimniecības fonda lauku attīstībai (ELFLA) sertifikācijas struktūru atbilstoši regulas 2021/2116 12. pantam nosaka Zemkopības ministrija, nevis konkrēti noteikumu tekstā jau paredzēt, kas ir sertifikācijas struktūra (salīdzinājumam sk. noteikumu 4.-7. punktu).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sekojošs skaidrojums: Ņemot vērā, ka 2023.–2027. gada plānošanas periodā Regulas 2021/2116 12. pantā noteikts, ka sertifikācijas struktūra var būt gan publiska, gan privāta revīzijas struktūra, ZM uzskata, ka noteikumos Nr. 50 nebūtu pareizi fiksēt sašaurinātu izvēli, jo gadījumā, ja mainās tirgus situācija un citi apstākļi, un tiek pieņemts lēmums, ka saimnieciski izdevīgāka izvēle ir par labu vienai, vai otrai opcijai (publiskai vai privātai revīzijas struktūrai), tad mazāks administratīvais slogs būs šo izvēli veikt ZM iekšējo normatīvo aktu ietvaros, nevis izdarot kārtējos grozījumus noteikumos Nr.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11:18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pārskatīt, vai “sākot no 2030.gada” nav aizstājams ar “sākot no 2031.gada”, ievērojot anotācijā sniegto skaidrojumu, ka publiskā finansējuma izdevumu attiecināmības periods ir 2030.gada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3.sadaļas punktā “Cita informācija” norādīto, kāpēc periods gadījumiem, kad maksājumu atbalsta saņēmējiem Eiropas Lauksaimniecības garantiju fonda (ELGF) un Eiropas Lauksaimniecības fonda lauku attīstībai (ELFLA) ietvaros veicami pēc izdevumu attiecināmības perioda beigām, noteikts 2034.gads, kā arī pievienot skaidrojumu, no kādiem līdzekļiem tiks nodrošināta maksājumu veikšana, ja Ministru kabinetā tiks sniegts ziņojums par izdevumu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saistībā ar anotācijas 3.sadaļas punktā “Cita informācija” norādīto informāciju būtu papildināms Ministru kabineta protokollēmuma projekts ar jaunu punktu, kas paredz pieņemt zināšanai, ka Zemkopības ministrija saistībā ar noteikumu projektā iekļautajiem grozījumiem par gadījumiem, kad maksājumu atbalsta saņēmējiem Eiropas Lauksaimniecības garantiju fonda (ELGF) un Eiropas Lauksaimniecības fonda lauku attīstībai (ELFLA) ietvaros veicami pēc izdevumu attiecināmības perioda beigām, iesniegs Ministru kabinetā attiecīgu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tiek saglabāta atsauce uz 2030. gadu, jo ELFLA izdevumu attiecināmības periods ir N+2 atbilstoši Regulas 2021/2116 34. panta 1. punktam un tiek precizēta pārrakstīšanās kļūda anotācijas sadaļā "Problēmas apraksts", kurā atsauce uz 2030. gadu tiek mainīta uz 2029.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punkts “Cita informācija” ir papildināts ar skaidrojumu, kā arī ir precizēts Ministru kabineta protokollēmuma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5.4. apakšsadaļas 1. tabulā skaidrot Eiropas Parlamenta un Padomes 2021. gada 2. decembra Regulas (ES) 2021/2116 par kopējās lauksaimniecības politikas finansēšanu, pārvaldību un uzraudzību un ar ko atceļ Regulu (ES) Nr. 1306/2013 12. panta, tostarp tā 3. punkta, ieviešanu. Proti, lūdzam izvērstāk skaidrot, kā projekta 1. punkts atbilst attiecīgajām regulas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 projekta 1. punktu tiek ieviests arī minētās regulas 8. panta 1. punkta "c" apakšpunkts, tādēļ lūdzam attiecīgi papildināt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1. tabulā ir sniegts skaidrojums par Regulas 2021/2116 12. panta pārņemšanu, kā arī tabula ir papildināta ar atsauci uz Regulas 2021/2116 8. panta 1. punkta "c" apakšpunkta pārņemšanu.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1. atbalsta saņēmējs ir apstrīdējis lēmumu, ar kuru noraidīts maksājums par projekta vai pieteikuma īstenošanu, un ir stājies spēkā atbalsta saņēmējam labvēlīgs tiesas spriedums vai pieņemts nolēmums, kas paredz atbalsta saņēmējam labvēlīgu tiesvedības iznākumu;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34.</w:t>
            </w:r>
            <w:r w:rsidR="00000000" w:rsidRPr="00000000" w:rsidDel="00000000">
              <w:rPr>
                <w:vertAlign w:val="superscript"/>
                <w:rtl w:val="0"/>
              </w:rPr>
              <w:t xml:space="preserve">1</w:t>
            </w:r>
            <w:r w:rsidR="00000000" w:rsidRPr="00000000" w:rsidDel="00000000">
              <w:rPr>
                <w:rtl w:val="0"/>
              </w:rPr>
              <w:t xml:space="preserve">1. apakšpunkta (projekta 2. punkts) tvērumu. Proti, anotācijā nav ietverts skaidrojums un pamatojums 34.</w:t>
            </w:r>
            <w:r w:rsidR="00000000" w:rsidRPr="00000000" w:rsidDel="00000000">
              <w:rPr>
                <w:vertAlign w:val="superscript"/>
                <w:rtl w:val="0"/>
              </w:rPr>
              <w:t xml:space="preserve">1</w:t>
            </w:r>
            <w:r w:rsidR="00000000" w:rsidRPr="00000000" w:rsidDel="00000000">
              <w:rPr>
                <w:rtl w:val="0"/>
              </w:rPr>
              <w:t xml:space="preserve">1. apakšpunktā paredzētajam regulējumam, tostarp, par kādu "nolēmumu, kas paredz atbalsta saņēmējam labvēlīgu tiesvedības iznākumu", ir runa, kas to pieņem un kādā procesā (civilprocesā vai administratīvajā procesā), kāds varētu būt šāda nolēmuma saturs u.tml. Turklāt normā paredzēts nosacījums par spēkā stāšanos labvēlīga tiesas sprieduma gadījumā, savukārt attiecībā uz nolēmumu, kas paredz atbalsta saņēmējam labvēlīgu tiesvedības iznākumu, pietiek tikai ar nolēmuma pieņemšanu. Attiecīgi lūdzam papildināt anotāciju, sniedzot izvērstāku skaidrojumu par projektā paredzēto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nolēmumu un saglabāta atsauce uz Lauku atbalsta dienesta lēmumu vai tiesas spriedumu.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2. atbalsta saņēmējs ir miris un pēc viņa saistību pārņemšanas atbalsts izmaksājams atbalsta saņēmēja mantiniekam;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un iespēju precizēt noteikumu 34.</w:t>
            </w:r>
            <w:r w:rsidR="00000000" w:rsidRPr="00000000" w:rsidDel="00000000">
              <w:rPr>
                <w:vertAlign w:val="superscript"/>
                <w:rtl w:val="0"/>
              </w:rPr>
              <w:t xml:space="preserve">1</w:t>
            </w:r>
            <w:r w:rsidR="00000000" w:rsidRPr="00000000" w:rsidDel="00000000">
              <w:rPr>
                <w:rtl w:val="0"/>
              </w:rPr>
              <w:t xml:space="preserve">2. apakšpunktā paredzēto regulējumu vai sniegt attiecīgu skaidrojumu, jo anotācijas 2. sadaļā sniegta informācija, ka atbalsta saņēmēji ir ne tikai fiziskas personas, bet arī juridiskas personas, tomēr apakšpunkts pēc savas būtības ir piemērojams tikai attiecībā uz atbalsta saņēmēju - fizisko personu. Papildus lūdzam izvērtēt, vai atbilstoši tiesiskās vienlīdzības principam līdzvērtīgs izņēmums (34.12. apakšpunktā paredzētajam) nebūtu nosakāms atsevišķi attiecībā uz juridiskajām personām (saistību pārņēmējiem), nepieciešamības gadījumā papildinot projektu, vai alternatīvi lūdzam anotācijā sniegt pamatotu skaidrojumu par minētā apakšpunkta atbilstību iepriekš norādītajam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paredzot saistību pārņēmējus gan fiziskas, gan juridiskas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26-TA-125</w:t>
    </w:r>
    <w:r>
      <w:br/>
    </w:r>
    <w:r w:rsidR="00000000" w:rsidRPr="00000000" w:rsidDel="00000000">
      <w:rPr>
        <w:rtl w:val="0"/>
      </w:rPr>
      <w:t xml:space="preserve">12.05.2026. 13.29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26-TA-125</w:t>
    </w:r>
    <w:r>
      <w:br/>
    </w:r>
    <w:r w:rsidR="00000000" w:rsidRPr="00000000" w:rsidDel="00000000">
      <w:rPr>
        <w:rtl w:val="0"/>
      </w:rPr>
      <w:t xml:space="preserve">12.05.2026. 13.29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Izziņa_26-TA-125.docx</dc:title>
</cp:coreProperties>
</file>

<file path=docProps/custom.xml><?xml version="1.0" encoding="utf-8"?>
<Properties xmlns="http://schemas.openxmlformats.org/officeDocument/2006/custom-properties" xmlns:vt="http://schemas.openxmlformats.org/officeDocument/2006/docPropsVTypes"/>
</file>