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24-TA-3336: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13. jūlija noteikumos Nr. 417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4.3.4.1. pasākuma "Vienlīdzīgu iespēju un nediskriminācijas veicināšana"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(03.08.2023.)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aizstājot vārdu "Grozījums" ar vārdu "Grozījumi" daudzskaitlī, ievērojot, ka noteikumu grozījumu projekts ietver sevī 8 (astoņus) grozījumu 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1.1.sadaļa “Pamatojums”, vārdu "Grozījums" aizstājot ar vārdu "Grozījumi".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mērķa aprakstu, jo šie nav tikai "redakcionāli" precizējumi. 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uzraudzības rādītāju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vienkāršoto izmaksu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1.2. sadaļa “Mērķis”, svītrojot vārdu “redakcionāli”.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sniegto informāciju, norādot Valsts administrācijas skolas personāla, kas būs atbildīgs par atbalsta sniegšanu e-mācību programmas</w:t>
            </w:r>
            <w:r w:rsidR="00000000" w:rsidRPr="00000000" w:rsidDel="00000000">
              <w:rPr>
                <w:u w:val="single"/>
                <w:rtl w:val="0"/>
              </w:rPr>
              <w:t xml:space="preserve"> izstrādes posmā</w:t>
            </w:r>
            <w:r w:rsidR="00000000" w:rsidRPr="00000000" w:rsidDel="00000000">
              <w:rPr>
                <w:rtl w:val="0"/>
              </w:rPr>
              <w:t xml:space="preserve">, atlīdzības izmaksām nepieciešamā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anotāciju papildināt ar informāciju par, cik būtiski </w:t>
            </w:r>
            <w:r w:rsidR="00000000" w:rsidRPr="00000000" w:rsidDel="00000000">
              <w:rPr>
                <w:i w:val="1"/>
                <w:rtl w:val="0"/>
              </w:rPr>
              <w:t xml:space="preserve">(euro</w:t>
            </w:r>
            <w:r w:rsidR="00000000" w:rsidRPr="00000000" w:rsidDel="00000000">
              <w:rPr>
                <w:rtl w:val="0"/>
              </w:rPr>
              <w:t xml:space="preserve"> izteiksmē) ir pieaugušas vienas mācību grupas pasākuma organizēšanas izmaksas un kādu ietekmi tas finansiālā ziņā atstāj uz projekta Nr.4.3.4.1/1/23/I/001 "Vienlīdzīgu iespēju un nediskriminācijas veicināšana"  īstenošanu. Vēršam uzmanību, ka anotācijā minēts: "</w:t>
            </w:r>
            <w:r w:rsidR="00000000" w:rsidRPr="00000000" w:rsidDel="00000000">
              <w:rPr>
                <w:i w:val="1"/>
                <w:rtl w:val="0"/>
              </w:rPr>
              <w:t xml:space="preserve">Lai nodrošinātu kvalitatīvu projekta mērķu sasniegšanu un atbilstošu projekta finansējuma izlietojumu, sākotnēji noteiktās programmas iznākuma rādītāja un rezultāta rādītāja vērtības nepieciešams samazināt.</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izvērtējumu par ierosināto noteikumu grozījumu ietekmi uz šobrīd 4.3.4.1.pasākuma ietvaros īstenošanā esošo Labklājības ministrijas projektu Nr.4.3.4.1/1/23/I/001 "Vienlīdzīgu iespēju un nediskriminācijas veicināšana", norādot, vai plānotajiem grozījumiem ir ietekme uz īstenošanā esošo projektu. Proti, vai nepieciešams veikt grozījumus Labklājības ministrijas īstenotajā projektā Nr.4.3.4.1/1/23/I/001 un vienošanās (vienošanās datums 05.03.2024.)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1.6. sadaļa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detalizētu izvērtējumu par ierosināto grozījumu ietekmi uz finansējuma saņēmēju un projekta atbalsta saņēmējiem, ņemot vērā, ka Ministru kabineta noteikumu grozījumu projekts ir iesniegts izskatīšanai pēc projektu iesniegumu atlases kārtas izsludināšanas (atlase 30.08.2023. – 27.11.2023., kas ir noslēgusies).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ierosinātajiem grozījumiem nav ietekmes, šai informācijai arī ir jābūt iekļautai anotācijā, lai nodrošinātu liecības, ka grozījumu ietekmes izvērtējums ir veikts un ir nodrošinātas audita liecības informācijas izsekojamībai.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1.6. sadaļa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sadaļu "Problēmas apraksts", precizējot par kādiem programmas grozījumu priekšlikumiem šai gadījumā ir runa. Ja tiek domāti, 2025.gada 23. janvārī Eiropas Komisija apstiprinātie Eiropas Savienības kohēzijas politikas programmas 2021.–2027.gadam (turpmāk – Programma) grozījumi </w:t>
            </w:r>
            <w:r w:rsidR="00000000" w:rsidRPr="00000000" w:rsidDel="00000000">
              <w:rPr>
                <w:b w:val="1"/>
                <w:rtl w:val="0"/>
              </w:rPr>
              <w:t xml:space="preserve">(Nr.2)</w:t>
            </w:r>
            <w:r w:rsidR="00000000" w:rsidRPr="00000000" w:rsidDel="00000000">
              <w:rPr>
                <w:rtl w:val="0"/>
              </w:rPr>
              <w:t xml:space="preserve">, tad vēršam uzmanību, ka tie jau ir stājušies spēkā un līdz ar to, aicinām nelietot jēdzienu “Programmas grozījumu priekšlikumi”, bet atsaukties uz jau spēkā esošiem Programmas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sadaļa “Problēmas apraksts”, kā arī attiecīgi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8.sadaļu. Atbilstoši Valsts kancelejas 2021.gadā izstrādātajām vadlīnijām tiesību akta projekta sākotnējās ietekmes novērtēšanai un novērtējuma ziņojuma sagatavošanai vienotajā tiesību aktu izstrādes un saskaņošanas portālā (pieejamas šeit: https://www.mk.gov.lv/sites/mk/files/media_file/tap_anotacija_vadlinijas.pdf ),ja tiesību akta projektam nav ietekmes uz kādu no  uzskaitītajiem izvērtēšanas aspektiem, atbildot uz jautājumu “Vai projekts skar šo jomu”, jāizvēlas atbilde “Nē”. Ņemot vērā, ka anotācijas 8.sadaļā nav ietverta informācija, vai projekta tiesiskais regulējums rada ietekmi uz noteiktajām jomām, anotācijas 8.sadaļa būtu aizpildāma, ietverot atbilstošas atbildes.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8.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finansējuma saņēmēja projekta vadības un īstenošanas personāla un sadarbības partnera projekta īstenošanas personāla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vadošās iestādes vadlīnijās Nr. 1.2 “Vadlīnijas attiecināmo izmaksu noteikšanai Eiropas Savienības kohēzijas politikas programmas 2021.-2027.gada plānošanas periodā”  ierosinātie grozījumi, kas paredz arī personāla izmaksu ierobežojumu svītrošanu attiecībā uz daļlaiku u.c., pašlaik ir saskaņošanas procesā un gala versija vēl nav apstiprināta, lūdzam MK noteikumos nedzēst nosacījumu par 30 procentu noslodzes nepieciešamību pie daļlaika iesaistes.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TA projektā iekļautā redakcija nosaka, ka attiecināmas ir personāla izmaksas. Savukārt, ko tās sevī ietver, nosaka aktuālās vadošās iestādes vadlīnijās Nr. 1.2 “Vadlīnijas attiecināmo izmaksu noteikšanai Eiropas Savienības kohēzijas politikas programmas 2021.–2027.gada plānošanas periodā” (turpmāk – vadlīnijas). Finansējuma saņēmējam vadlīnijas ir saistošas, jo to paredz vienošanās ar Centrālo finanšu un līgumu aģentūru par projekta īstenošanu. Tā kā šobrīd vadlīnijas paredz nosacījumu par 30 procentu noslodzes nepieciešamību daļlaika noslodzes gadījumā, projekta īstenošanā šis nosacījums būs jāievēro. Tikai tad, kad stāsies spēkā aktuālās vadošās iestādes vadlīnijas, varēs piemērot tajos ietvertos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TA projektā iestrādātās izmaiņas ļaus pēc iespējas ātrāk uzsākt aktuālo vadlīniju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finansējuma saņēmēja projekta vadības un īstenošanas personāla un sadarbības partnera projekta īstenošanas personāla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 līdz atbildīgās iestādes izstrādātās vienkāršoto izmaksu un tās piemērošanas metodikas personāla atlīdzības izmaksām (turpmāk – personāla izmaksu metodika) apstiprināšanai – finansējuma saņēmēja projekta vadības un īstenošanas personāla atlīdzības izmaksas un sadarbības partnera projekta īstenošanas personāla atlīdzības izmaksas saskaņā ar </w:t>
            </w:r>
            <w:r w:rsidR="00000000" w:rsidRPr="00000000" w:rsidDel="00000000">
              <w:rPr>
                <w:rtl w:val="0"/>
              </w:rPr>
              <w:t xml:space="preserve">Valsts un pašvaldību institūciju amatpersonu un darbinieku atlīdzības likumu</w:t>
            </w:r>
            <w:r w:rsidR="00000000" w:rsidRPr="00000000" w:rsidDel="00000000">
              <w:rPr>
                <w:rtl w:val="0"/>
              </w:rPr>
              <w:t xml:space="preserve">, izņemot virsstundas. Ja personāla iesaiste projektā ir nodrošināta saskaņā ar daļlaika attiecināmības principu, attiecināma ir ne mazāka kā 30 procentu noslodze;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noteikumu 15.1.1. apakšpunktā personāla izmaksu vienotās likmes metodika tiek aizstāta ar vienkāršoto izmaksu metodiku (pieļaujot iespēju izstrādāt vienības izmaksu metodiku), jāveic attiecīgi precizējumi arī noteikumu 15.1.2.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kā ES fondu vadošās iestādes 05.02.2025. vēstulē Nr. 5.1-36/11-2/368 sniegto informāciju, tā turpmāk atbalsta divu veidu pieeju projekta vadības personāla izmaksu attiecināšanu projektu līmenī – vienotās likmes līdz 20% vai faktisko izmaksu piemērošanu, precizēts noteikumu projekta 15.1., 15.2.3. un 16.3.  apakšpunkts un anotācijas sadaļas “Pašreizējā situācija”, “Problēmas apraksts”, kā arī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15.2.3. normatīvajos aktos par kārtību, kādā veicama obligātā veselības pārbaude, paredzēto veselības pārbaužu izmaksas finansējuma saņēmēja projekta vadības un īstenošanas personālam un sadarbības partnera projekta īstenošanas personālam, ja tās nav iekļautas veselības apdrošināšanas polisē.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plānotajiem MK noteikumu grozījumiem no tiešajām izmaksām paredzēts dzēst redzes korekcijas līdzekļu kompensācijas izmaksas un veselības apdrošināšanas izmaksas, aicinām no tiešajām izmaksām dzēst arī obligātās veselības pārbaudes izmaksas. Šādas izmaksas projektos tiek attiecinātas reti, kā arī izmaksas finansiāli nav lielas. Tomēr, ja obligātās veselības pārbaudes izmaksas paliks kā tiešās izmaksas, lai veiktu to attiecināmības pārbaudi un vienlaikus pārliecinoties, vai tās nav iekļautas veselības apdrošināšanas polisē (kas ar šiem grozījumiem vairs nav paredzētas no tiešajām izmaksām), finansējuma saņēmējam tomēr būs jāiesniedz arī veselības apdrošināšanas izmaksu saistošie dokumenti. Attiecīgi pārbaudes, kas saistītas ar obligātās veselības pārbaužu izmaksām, radīs nevajadzīgu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aktuālo vadošās iestādes vadlīniju Nr. 1.2. “Vadlīnijas attiecināmo izmaksu noteikšanai Eiropas Savienības kohēzijas politikas programmas 2021.–2027. gada plānošanas periodā” 39. punktā noteiktajam, veselības apdrošināšanas izmaksas, </w:t>
            </w:r>
            <w:r w:rsidR="00000000" w:rsidRPr="00000000" w:rsidDel="00000000">
              <w:rPr>
                <w:u w:val="single"/>
                <w:rtl w:val="0"/>
              </w:rPr>
              <w:t xml:space="preserve">obligātās veselības pārbaudes nodrošināšanas izmaksas</w:t>
            </w:r>
            <w:r w:rsidR="00000000" w:rsidRPr="00000000" w:rsidDel="00000000">
              <w:rPr>
                <w:rtl w:val="0"/>
              </w:rPr>
              <w:t xml:space="preserve">, redzes korekcijas līdzekļu izmaksas projektos valsts pārvaldes iestādēm tiek plānotas kā tiešās attiecināmās izmaksas, ja tās ir nepieciešamas projekta vadības un īstenošanas personālam, kas nodrošina projekta mērķu sasniegšanu, un tas ir atrunāts MK noteikumos par SAM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obligātās veselības pārbaudes nodrošināšanas izmaksas praktiski vienmēr tiek iekļautas veselības apdrošināšanas polisē, kas atbilstoši aktuālajām vadlīnijām ir iekļautas personāla izmaksās, taču nevar izslēgt iespējamību, ka tā varētu arī nebūt. Piemēram, finansējuma saņēmēja projekta personālam nav pieejama veselības apdrošināšanas polise pārbaudes laika ietvaros, bet OVP izmaksas nepieciešams kompensēt. LM ieskatā, kamēr nav stājušies spēkā iepriekš minēto vadlīniju grozījumi, būtu jāpieturas pie esošā tiešo izmaksu dalījuma un MK noteikumu 15.2.3. apakšpunkts ir saglabājams.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15.2.3. normatīvajos aktos par kārtību, kādā veicama obligātā veselības pārbaude, paredzēto veselības pārbaužu izmaksas finansējuma saņēmēja projekta vadības un īstenošanas personālam un sadarbības partnera projekta īstenošanas personālam, ja tās nav iekļautas veselības apdrošināšanas polisē.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līdz personāla izmaksu metodikas apstiprināšanai veselības apdrošināšanu var paredzēt finansējuma saņēmēja projekta īstenošanas un vadības personālam un sadarbības partnera projekta īstenošanas personālam. Ja personāls ir nodarbināts normālu darba laiku, veselības apdrošināšanas izmaksas ir attiecināmas 100 procentu apmērā. Ja personāls ir nodarbināts nepilnu darba laiku, veselības apdrošināšanas izmaksas nosakāmas atbilstoši nepilnā darba laika noslodzei. Ja personāla atlīdzībai piemēro daļlaika attiecināmības principu, veselības apdrošināšanas izmaksas nosakāmas atbilstoši daļlaika noslodzei. Veselības apdrošināšanas izmaksas ir attiecināmas tikai laikposmā, kad personāls ir nodarbināts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vai no noteikumu projekta svītrotās veselības apdrošināšanas izmaksas (kas tika norādītas 16.3. apakšpunktā) un redzes korekcijas līdzekļu kompensācijas izmaksas (kas tika norādītas 15.2.3.apakšpunktā) plānots segt no netiešo izmaksu vienotās likmes.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 MK noteikumiem Nr. 417 svītrotās 16.3. apakšpunktā minētās izmaksas tiks segtas atbilstoši aktuālajām vadošās iestādes vadlīnijām Nr. 1.2. “Vadlīnijas attiecināmo izmaksu noteikšanai Eiropas Savienības kohēzijas politikas programmas 2021.–2027. gada plānošanas periodā”. Šobrīd atbilstoši aktuālajām attiecināmo izmaksu vadlīnijām  (skat. 7.15.2.3. apakšpunktu un zemsvītrā ietverto skaidrojumu) veselības apdrošināšanas izmaksas ir attiecināmas no personāla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līdz personāla izmaksu metodikas apstiprināšanai veselības apdrošināšanu var paredzēt finansējuma saņēmēja projekta īstenošanas un vadības personālam un sadarbības partnera projekta īstenošanas personālam. Ja personāls ir nodarbināts normālu darba laiku, veselības apdrošināšanas izmaksas ir attiecināmas 100 procentu apmērā. Ja personāls ir nodarbināts nepilnu darba laiku, veselības apdrošināšanas izmaksas nosakāmas atbilstoši nepilnā darba laika noslodzei. Ja personāla atlīdzībai piemēro daļlaika attiecināmības principu, veselības apdrošināšanas izmaksas nosakāmas atbilstoši daļlaika noslodzei. Veselības apdrošināšanas izmaksas ir attiecināmas tikai laikposmā, kad personāls ir nodarbināts projektā;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darba vietas aprīkojuma iegādei vai nomai, tai skaitā aprīkojuma uzturēšanai un remontam, finansējuma saņēmēja projekta īstenošanas un vadības personālam jaunu darba vietu radīšanai vai esošo darba vietu atjaunošanai var paredzēt ne vairāk kā 3000 </w:t>
            </w:r>
            <w:r w:rsidR="00000000" w:rsidRPr="00000000" w:rsidDel="00000000">
              <w:rPr>
                <w:i w:val="1"/>
                <w:rtl w:val="0"/>
              </w:rPr>
              <w:t xml:space="preserve">euro</w:t>
            </w:r>
            <w:r w:rsidR="00000000" w:rsidRPr="00000000" w:rsidDel="00000000">
              <w:rPr>
                <w:rtl w:val="0"/>
              </w:rPr>
              <w:t xml:space="preserve"> vienai darba vietai visā projekta īstenošanas laikā. Ja personāls ir nodarbināts normālu darba laiku, darba vietas aprīkojuma izmaksas ir attiecināmas 100 procentu apmērā. Ja personāls ir nodarbināts nepilnu darba laiku vai personāla atlīdzībai piemēro daļlaika attiecināmības principu, darba vietas izmaksas ir attiecināmas proporcionāli slodzes procentuālajam sadalījumam;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tiek slēgti uzņēmuma līgumi par projekta vadību, grāmatvedību vai tamlīdzīgu pakalpojumu sniegšanu, tad pēc būtības tas ir pakalpojums, ko piesaistītais personāls sniedz ar saviem materiālajiem resursiem, līdz ar to darba vietas aprīkojuma izmaksas šajā gadījumā nebūtu attiecināmas. Ņemot vērā iepriekš minēto, lūdzam izvērtēt, vai noteikumu projekta 16.4. apakšpunktā nebūtu jāveic precizējumi, norādot, ka darba vietas aprīkojuma izmaksas ir attiecināmas personālam, kas nodarbināti uz darba līguma vai rīkojuma pamata.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mūsu ieskatā no šī brīža MK noteikumu Nr. 417 16.4. apakšpunkta redakcijas ir saprotams, ka jaunu darba vietu radīšanas vai esošo atjaunošanas izmaksas ir attiecināmas tikai tam personālam, kas nodarbināts uz darba līguma vai rīkojuma pamata, jo ir ietverts skaidrojums par izmaksu attiecināšanas proporciju atbilstoši noslodzei (normāls vai nepilns darba laiks). Papildus vēršam uzmanību, ka, slēdzot uzņēmuma līgumu, tajā tiek norādīta līgumsumma (ietver visas pakalpojuma sniegšanai nepieciešamās izmaksas), kurai papildus projektā izdevumi netiek plānoti.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darba vietas aprīkojuma iegādei vai nomai, tai skaitā aprīkojuma uzturēšanai un remontam, finansējuma saņēmēja projekta īstenošanas un vadības personālam jaunu darba vietu radīšanai vai esošo darba vietu atjaunošanai var paredzēt ne vairāk kā 3000 </w:t>
            </w:r>
            <w:r w:rsidR="00000000" w:rsidRPr="00000000" w:rsidDel="00000000">
              <w:rPr>
                <w:i w:val="1"/>
                <w:rtl w:val="0"/>
              </w:rPr>
              <w:t xml:space="preserve">euro</w:t>
            </w:r>
            <w:r w:rsidR="00000000" w:rsidRPr="00000000" w:rsidDel="00000000">
              <w:rPr>
                <w:rtl w:val="0"/>
              </w:rPr>
              <w:t xml:space="preserve"> vienai darba vietai visā projekta īstenošanas laikā. Ja personāls ir nodarbināts normālu darba laiku, darba vietas aprīkojuma izmaksas ir attiecināmas 100 procentu apmērā. Ja personāls ir nodarbināts nepilnu darba laiku vai personāla atlīdzībai piemēro daļlaika attiecināmības principu, darba vietas izmaksas ir attiecināmas proporcionāli slodzes procentuālajam sadalījumam;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Pasākuma ietvaros 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un </w:t>
            </w:r>
            <w:r w:rsidR="00000000" w:rsidRPr="00000000" w:rsidDel="00000000">
              <w:rPr>
                <w:rtl w:val="0"/>
              </w:rPr>
              <w:t xml:space="preserve">13.3.</w:t>
            </w:r>
            <w:r w:rsidR="00000000" w:rsidRPr="00000000" w:rsidDel="00000000">
              <w:rPr>
                <w:rtl w:val="0"/>
              </w:rPr>
              <w:t xml:space="preserve"> apakšpunktā</w:t>
            </w:r>
            <w:r w:rsidR="00000000" w:rsidRPr="00000000" w:rsidDel="00000000">
              <w:rPr>
                <w:rtl w:val="0"/>
              </w:rPr>
              <w:t xml:space="preserve"> minēto atbalstāmo darbību īstenošanu pārvalda Labklājības ministrijas izveidota Sociālās iekļaušanas politikas koordinācijas komiteja (turpmāk – komiteja). Dalībai komitejas sēdēs, kurās izskata šo noteikumu </w:t>
            </w:r>
            <w:r w:rsidR="00000000" w:rsidRPr="00000000" w:rsidDel="00000000">
              <w:rPr>
                <w:rtl w:val="0"/>
              </w:rPr>
              <w:t xml:space="preserve">21.1.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minētos jautājumus, pieaicina Valsts kancelejas un Valsts administrācijas skolas pārstāvjus. Komitejas sēdēs, kurās izskata ar pasākuma ieviešanu saistītus jautājumus, var piedalīties arī atbildīgās iestādes un vadošās iestādes pārstāvji.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13. jūlija noteikumu Nr. 417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4.3.4.1. pasākuma "Vienlīdzīgu iespēju un nediskriminācijas veicināšana" īstenošanas noteikumi" (turpmāk - noteikumi Nr. 417) 19. punkts tā spēkā esošajā redakcijā nosaka, ka Labklājības ministrijas izveidotajā uzraudzības padomē atbildīgās iestādes un </w:t>
            </w:r>
            <w:r w:rsidR="00000000" w:rsidRPr="00000000" w:rsidDel="00000000">
              <w:rPr>
                <w:u w:val="single"/>
                <w:rtl w:val="0"/>
              </w:rPr>
              <w:t xml:space="preserve">vadošās iestādes pārstāvji padomes darbībā var piedalīties novērotāja statusā</w:t>
            </w:r>
            <w:r w:rsidR="00000000" w:rsidRPr="00000000" w:rsidDel="00000000">
              <w:rPr>
                <w:rtl w:val="0"/>
              </w:rPr>
              <w:t xml:space="preserve">. Savukārt ar noteikumu projektu plānotie grozījumi paredz, ka Labklājības ministrijas izveidotās Sociālās iekļaušanas politikas koordinācijas komitejas sēdēs, kurās izskata ar pasākuma ieviešanu saistītus jautājumus, </w:t>
            </w:r>
            <w:r w:rsidR="00000000" w:rsidRPr="00000000" w:rsidDel="00000000">
              <w:rPr>
                <w:u w:val="single"/>
                <w:rtl w:val="0"/>
              </w:rPr>
              <w:t xml:space="preserve">var piedalīties arī </w:t>
            </w:r>
            <w:r w:rsidR="00000000" w:rsidRPr="00000000" w:rsidDel="00000000">
              <w:rPr>
                <w:rtl w:val="0"/>
              </w:rPr>
              <w:t xml:space="preserve">atbildīgās iestādes un </w:t>
            </w:r>
            <w:r w:rsidR="00000000" w:rsidRPr="00000000" w:rsidDel="00000000">
              <w:rPr>
                <w:u w:val="single"/>
                <w:rtl w:val="0"/>
              </w:rPr>
              <w:t xml:space="preserve">vadošās iestādes pārstāvji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atbilstošus precizējumus noteikumu 19. punktā attiecībā uz vadošās iestādes pārstāvju iesaisti komitejas sēdēs, salāgojot ar šobrīd noteikumu Nr. 417 19. punktā noteikto, t.i., paredzot </w:t>
            </w:r>
            <w:r w:rsidR="00000000" w:rsidRPr="00000000" w:rsidDel="00000000">
              <w:rPr>
                <w:u w:val="single"/>
                <w:rtl w:val="0"/>
              </w:rPr>
              <w:t xml:space="preserve">novērotāja statusu</w:t>
            </w:r>
            <w:r w:rsidR="00000000" w:rsidRPr="00000000" w:rsidDel="00000000">
              <w:rPr>
                <w:rtl w:val="0"/>
              </w:rPr>
              <w:t xml:space="preserve">, vai anotācijā sniegt papildu skaidrojumu par minētajiem noteikumu Nr. 417 19. punktā plānotajiem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iespēju svītrot vadošās iestādes dalību minētajā komitejā, ņemot vērā, ka iesaiste šādā projektu uzraudzības institūcijā radītu papildu slogu vadošajai iestādei.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19. punkts redakcionāli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Pasākuma ietvaros 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un </w:t>
            </w:r>
            <w:r w:rsidR="00000000" w:rsidRPr="00000000" w:rsidDel="00000000">
              <w:rPr>
                <w:rtl w:val="0"/>
              </w:rPr>
              <w:t xml:space="preserve">13.3.</w:t>
            </w:r>
            <w:r w:rsidR="00000000" w:rsidRPr="00000000" w:rsidDel="00000000">
              <w:rPr>
                <w:rtl w:val="0"/>
              </w:rPr>
              <w:t xml:space="preserve"> apakšpunktā</w:t>
            </w:r>
            <w:r w:rsidR="00000000" w:rsidRPr="00000000" w:rsidDel="00000000">
              <w:rPr>
                <w:rtl w:val="0"/>
              </w:rPr>
              <w:t xml:space="preserve"> minēto atbalstāmo darbību īstenošanu pārvalda Labklājības ministrijas izveidota Sociālās iekļaušanas politikas koordinācijas komiteja (turpmāk – komiteja). Dalībai komitejas sēdēs, kurās izskata ar šo noteikumu </w:t>
            </w:r>
            <w:r w:rsidR="00000000" w:rsidRPr="00000000" w:rsidDel="00000000">
              <w:rPr>
                <w:rtl w:val="0"/>
              </w:rPr>
              <w:t xml:space="preserve">21.1. </w:t>
            </w:r>
            <w:r w:rsidR="00000000" w:rsidRPr="00000000" w:rsidDel="00000000">
              <w:rPr>
                <w:rtl w:val="0"/>
              </w:rPr>
              <w:t xml:space="preserve">apakšpunktā</w:t>
            </w:r>
            <w:r w:rsidR="00000000" w:rsidRPr="00000000" w:rsidDel="00000000">
              <w:rPr>
                <w:rtl w:val="0"/>
              </w:rPr>
              <w:t xml:space="preserve"> minēto e-mācību programmas īstenošanu saistītos jautājumus, pieaicina Valsts kancelejas un Valsts administrācijas skolas pārstāvjus. Komitejas sēdēs, kurās izskata ar pasākuma ieviešanu saistītus jautājumus, atbildīgās iestādes pārstāvji var piedalīties novērotāja statusā.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Pasākuma ietvaros 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un </w:t>
            </w:r>
            <w:r w:rsidR="00000000" w:rsidRPr="00000000" w:rsidDel="00000000">
              <w:rPr>
                <w:rtl w:val="0"/>
              </w:rPr>
              <w:t xml:space="preserve">13.3.</w:t>
            </w:r>
            <w:r w:rsidR="00000000" w:rsidRPr="00000000" w:rsidDel="00000000">
              <w:rPr>
                <w:rtl w:val="0"/>
              </w:rPr>
              <w:t xml:space="preserve"> apakšpunktā</w:t>
            </w:r>
            <w:r w:rsidR="00000000" w:rsidRPr="00000000" w:rsidDel="00000000">
              <w:rPr>
                <w:rtl w:val="0"/>
              </w:rPr>
              <w:t xml:space="preserve"> minēto atbalstāmo darbību īstenošanu pārvalda Labklājības ministrijas izveidota Sociālās iekļaušanas politikas koordinācijas komiteja (turpmāk – komiteja). Dalībai komitejas sēdēs, kurās izskata šo noteikumu </w:t>
            </w:r>
            <w:r w:rsidR="00000000" w:rsidRPr="00000000" w:rsidDel="00000000">
              <w:rPr>
                <w:rtl w:val="0"/>
              </w:rPr>
              <w:t xml:space="preserve">21.1.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minētos jautājumus, pieaicina Valsts kancelejas un Valsts administrācijas skolas pārstāvjus. Komitejas sēdēs, kurās izskata ar pasākuma ieviešanu saistītus jautājumus, var piedalīties arī atbildīgās iestādes un vadošās iestādes pārstāvji.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vai atsauce uz 22.punktu ir norādīta korekti, jo 22.punktā ir minēti sadarbības partnera pienākumi, bet Komitejas izskatāmie jautājumi ir norādīti 20.punktā.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Valsts kancelejas un Valsts administrācijas skolas pārstāvji tiks aicināti tikai uz tām komitejas sēdēm, kurās tiks skatīti jautājumi, kas saistīti ar e-mācību ieviešanu un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regulējuma vienotu interpretāciju, redakcionāli precizēts TA projekta 19.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Pasākuma ietvaros 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un </w:t>
            </w:r>
            <w:r w:rsidR="00000000" w:rsidRPr="00000000" w:rsidDel="00000000">
              <w:rPr>
                <w:rtl w:val="0"/>
              </w:rPr>
              <w:t xml:space="preserve">13.3.</w:t>
            </w:r>
            <w:r w:rsidR="00000000" w:rsidRPr="00000000" w:rsidDel="00000000">
              <w:rPr>
                <w:rtl w:val="0"/>
              </w:rPr>
              <w:t xml:space="preserve"> apakšpunktā</w:t>
            </w:r>
            <w:r w:rsidR="00000000" w:rsidRPr="00000000" w:rsidDel="00000000">
              <w:rPr>
                <w:rtl w:val="0"/>
              </w:rPr>
              <w:t xml:space="preserve"> minēto atbalstāmo darbību īstenošanu pārvalda Labklājības ministrijas izveidota Sociālās iekļaušanas politikas koordinācijas komiteja (turpmāk – komiteja). Dalībai komitejas sēdēs, kurās izskata ar šo noteikumu </w:t>
            </w:r>
            <w:r w:rsidR="00000000" w:rsidRPr="00000000" w:rsidDel="00000000">
              <w:rPr>
                <w:rtl w:val="0"/>
              </w:rPr>
              <w:t xml:space="preserve">21.1. </w:t>
            </w:r>
            <w:r w:rsidR="00000000" w:rsidRPr="00000000" w:rsidDel="00000000">
              <w:rPr>
                <w:rtl w:val="0"/>
              </w:rPr>
              <w:t xml:space="preserve">apakšpunktā</w:t>
            </w:r>
            <w:r w:rsidR="00000000" w:rsidRPr="00000000" w:rsidDel="00000000">
              <w:rPr>
                <w:rtl w:val="0"/>
              </w:rPr>
              <w:t xml:space="preserve"> minēto e-mācību programmas īstenošanu saistītos jautājumus, pieaicina Valsts kancelejas un Valsts administrācijas skolas pārstāvjus. Komitejas sēdēs, kurās izskata ar pasākuma ieviešanu saistītus jautājumus, atbildīgās iestādes pārstāvji var piedalīties novērotāja statusā.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nodrošina, ka projektā plānotās atbalstāmās darbības netiek finansētas, kā arī tās nav plānots finansēt no citiem valsts, pašvaldības vai ārvalstu finanšu atbalsta instrumentiem;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par grozīto Ministru kabineta noteikumu 26.1.punktu.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Papildinātas anotācijas sadaļas – “Pašreizējā situācija” “Problēmas apraksts”, kā arī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nodrošina, ka projektā plānotās atbalstāmās darbības netiek finansētas, kā arī tās nav plānots finansēt no citiem valsts, pašvaldības vai ārvalstu finanšu atbalsta instrumentiem;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24-TA-3336</w:t>
    </w:r>
    <w:r>
      <w:br/>
    </w:r>
    <w:r w:rsidR="00000000" w:rsidRPr="00000000" w:rsidDel="00000000">
      <w:rPr>
        <w:rtl w:val="0"/>
      </w:rPr>
      <w:t xml:space="preserve">13.03.2025. 19.50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24-TA-3336</w:t>
    </w:r>
    <w:r>
      <w:br/>
    </w:r>
    <w:r w:rsidR="00000000" w:rsidRPr="00000000" w:rsidDel="00000000">
      <w:rPr>
        <w:rtl w:val="0"/>
      </w:rPr>
      <w:t xml:space="preserve">13.03.2025. 19.50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Izziņa_24-TA-3336.docx</dc:title>
</cp:coreProperties>
</file>

<file path=docProps/custom.xml><?xml version="1.0" encoding="utf-8"?>
<Properties xmlns="http://schemas.openxmlformats.org/officeDocument/2006/custom-properties" xmlns:vt="http://schemas.openxmlformats.org/officeDocument/2006/docPropsVTypes"/>
</file>