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22-TA-2779: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Ukrainas civiliedzīvotāju atbalsta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22.punktu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Grozījumu šā 13.</w:t>
            </w:r>
            <w:r w:rsidR="00000000" w:rsidRPr="00000000" w:rsidDel="00000000">
              <w:rPr>
                <w:vertAlign w:val="superscript"/>
                <w:rtl w:val="0"/>
              </w:rPr>
              <w:t xml:space="preserve">1</w:t>
            </w:r>
            <w:r w:rsidR="00000000" w:rsidRPr="00000000" w:rsidDel="00000000">
              <w:rPr>
                <w:rtl w:val="0"/>
              </w:rPr>
              <w:t xml:space="preserve"> panta septītajā daļā piemēro no 2022. gada 1.septembra.”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Ukrainas civiliedzīvotāju atbalsta likuma 13.</w:t>
            </w:r>
            <w:r w:rsidR="00000000" w:rsidRPr="00000000" w:rsidDel="00000000">
              <w:rPr>
                <w:vertAlign w:val="superscript"/>
                <w:rtl w:val="0"/>
              </w:rPr>
              <w:t xml:space="preserve">1</w:t>
            </w:r>
            <w:r w:rsidR="00000000" w:rsidRPr="00000000" w:rsidDel="00000000">
              <w:rPr>
                <w:rtl w:val="0"/>
              </w:rPr>
              <w:t xml:space="preserve"> panta septītajā daļā jau ir veikti grozījumi, kas stājās spēkā 2022. gada 23. jūnijā (sk. 2022. gada 16. jūnijā pieņemto likumu "Grozījumi Ukrainas civiliedzīvotāju atbalsta likumā"). Lai nodrošinātu tiesisko noteiktību, lūdzam precizēt likumprojekta 2. pantā ietvertā Ukrainas civiliedzīvotāju atbalsta likuma pārejas noteikumu 22. punkta redakciju, skaidri un nepārprotami norādot, ka minētais pārejas noteikums attiecināms uz likumprojekta 1. pantā piedāvātajiem grozījumiem.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22.punktu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Grozījumu šā likuma 13.</w:t>
            </w:r>
            <w:r w:rsidR="00000000" w:rsidRPr="00000000" w:rsidDel="00000000">
              <w:rPr>
                <w:vertAlign w:val="superscript"/>
                <w:rtl w:val="0"/>
              </w:rPr>
              <w:t xml:space="preserve">1</w:t>
            </w:r>
            <w:r w:rsidR="00000000" w:rsidRPr="00000000" w:rsidDel="00000000">
              <w:rPr>
                <w:rtl w:val="0"/>
              </w:rPr>
              <w:t xml:space="preserve"> panta septītajā daļā, kas paredz finansējuma apmēru viena izglītojamā ēdināšanai dienā 2,15 </w:t>
            </w:r>
            <w:r w:rsidR="00000000" w:rsidRPr="00000000" w:rsidDel="00000000">
              <w:rPr>
                <w:i w:val="1"/>
                <w:rtl w:val="0"/>
              </w:rPr>
              <w:t xml:space="preserve">euro</w:t>
            </w:r>
            <w:r w:rsidR="00000000" w:rsidRPr="00000000" w:rsidDel="00000000">
              <w:rPr>
                <w:rtl w:val="0"/>
              </w:rPr>
              <w:t xml:space="preserve">, kā arī nosaka izdevumu kompensācijas kārtību par to nepilngadīgo Ukrainas civiliedzīvotāju ēdināšanu, kuri izglītības iestādēs klātienē apgūst pamatizglītības programmas 1., 2., 3. un 4. klasē, bet uzņemti izglītības programmā pēc kārtējā gada 1.septembra, piemēro no 2022. gada 1.septembra"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22.punktu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Grozījumu šā 13.</w:t>
            </w:r>
            <w:r w:rsidR="00000000" w:rsidRPr="00000000" w:rsidDel="00000000">
              <w:rPr>
                <w:vertAlign w:val="superscript"/>
                <w:rtl w:val="0"/>
              </w:rPr>
              <w:t xml:space="preserve">1</w:t>
            </w:r>
            <w:r w:rsidR="00000000" w:rsidRPr="00000000" w:rsidDel="00000000">
              <w:rPr>
                <w:rtl w:val="0"/>
              </w:rPr>
              <w:t xml:space="preserve"> panta septītajā daļā piemēro no 2022. gada 1.septembra.”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Oficiālo publikāciju un tiesiskās informācijas likuma 9. panta ceturtajai daļai normatīvajam aktam vai tā daļai nav atpakaļejoša spēka, izņemot likumā īpaši paredzētus gadījumus. Ievērojot minēto, lūdzam papildināt likumprojekta anotācijas 1.3. sadaļu ar skaidrojumu par nepieciešamību likumprojekta 1. pantā piedāvāto grozījumu Ukrainas civiliedzīvotāju atbalsta likuma 13.</w:t>
            </w:r>
            <w:r w:rsidR="00000000" w:rsidRPr="00000000" w:rsidDel="00000000">
              <w:rPr>
                <w:vertAlign w:val="superscript"/>
                <w:rtl w:val="0"/>
              </w:rPr>
              <w:t xml:space="preserve">1</w:t>
            </w:r>
            <w:r w:rsidR="00000000" w:rsidRPr="00000000" w:rsidDel="00000000">
              <w:rPr>
                <w:rtl w:val="0"/>
              </w:rPr>
              <w:t xml:space="preserve"> panta septītajā daļā piemērot no 2022. gada 1. septembra.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22.punktu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Grozījumu šā likuma 13.</w:t>
            </w:r>
            <w:r w:rsidR="00000000" w:rsidRPr="00000000" w:rsidDel="00000000">
              <w:rPr>
                <w:vertAlign w:val="superscript"/>
                <w:rtl w:val="0"/>
              </w:rPr>
              <w:t xml:space="preserve">1</w:t>
            </w:r>
            <w:r w:rsidR="00000000" w:rsidRPr="00000000" w:rsidDel="00000000">
              <w:rPr>
                <w:rtl w:val="0"/>
              </w:rPr>
              <w:t xml:space="preserve"> panta septītajā daļā, kas paredz finansējuma apmēru viena izglītojamā ēdināšanai dienā 2,15 </w:t>
            </w:r>
            <w:r w:rsidR="00000000" w:rsidRPr="00000000" w:rsidDel="00000000">
              <w:rPr>
                <w:i w:val="1"/>
                <w:rtl w:val="0"/>
              </w:rPr>
              <w:t xml:space="preserve">euro</w:t>
            </w:r>
            <w:r w:rsidR="00000000" w:rsidRPr="00000000" w:rsidDel="00000000">
              <w:rPr>
                <w:rtl w:val="0"/>
              </w:rPr>
              <w:t xml:space="preserve">, kā arī nosaka izdevumu kompensācijas kārtību par to nepilngadīgo Ukrainas civiliedzīvotāju ēdināšanu, kuri izglītības iestādēs klātienē apgūst pamatizglītības programmas 1., 2., 3. un 4. klasē, bet uzņemti izglītības programmā pēc kārtējā gada 1.septembra, piemēro no 2022. gada 1.septembra"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Jautājums par finansējuma piešķiršanu 2023.gadam un turpmāk ik gadus, lai nodrošinātu valsts budžeta līdzekļu apmēra palielināšanu brīvpusdienu nodrošināšanai vienam izglītojamam, ir izskatāms Ministru kabinetā likumprojekta “Par valsts budžetu 2023.gadam” un likumprojekta “Par vidēja termiņa budžeta ietvaru 2023., 2024. un 2025.gadam” izstrādes procesā kopā ar visu ministriju iesniegtajiem prioritāro pasākumu pieteikumiem, ņemot vērā valsts budžeta finansiālās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vārdus "un turpmāk ik gadus", jo šobrīd nav pamata uzskatīt, ka attiecīgie izdevumi būs jāsedz arī turpmākajos periodos, kas pārsniedz 2022./2023. mācību 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protokollēmuma 5.punkts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Jautājums par finansējuma piešķiršanu 2023.gadam, lai nodrošinātu valsts budžeta līdzekļu apmēra palielināšanu brīvpusdienu nodrošināšanai vienam izglītojamam, ir izskatāms Ministru kabinetā likumprojekta “Par valsts budžetu 2023.gadam” un likumprojekta “Par vidēja termiņa budžeta ietvaru 2023., 2024. un 2025.gadam” izstrādes procesā kopā ar visu ministriju iesniegtajiem prioritāro pasākumu pieteikumiem, ņemot vērā valsts budžeta finansiālās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22-TA-2779</w:t>
    </w:r>
    <w:r>
      <w:br/>
    </w:r>
    <w:r w:rsidR="00000000" w:rsidRPr="00000000" w:rsidDel="00000000">
      <w:rPr>
        <w:rtl w:val="0"/>
      </w:rPr>
      <w:t xml:space="preserve">21.09.2022. 18.17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22-TA-2779</w:t>
    </w:r>
    <w:r>
      <w:br/>
    </w:r>
    <w:r w:rsidR="00000000" w:rsidRPr="00000000" w:rsidDel="00000000">
      <w:rPr>
        <w:rtl w:val="0"/>
      </w:rPr>
      <w:t xml:space="preserve">21.09.2022. 18.17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Izziņa_22-TA-2779.docx</dc:title>
</cp:coreProperties>
</file>

<file path=docProps/custom.xml><?xml version="1.0" encoding="utf-8"?>
<Properties xmlns="http://schemas.openxmlformats.org/officeDocument/2006/custom-properties" xmlns:vt="http://schemas.openxmlformats.org/officeDocument/2006/docPropsVTypes"/>
</file>