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26-TA-272: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Kohēzijas politikas programmas 2021.–2027. gadam 4.2.1.5. pasākuma "Izglītības iestāžu nodrošinājums pilnveidotā vispārējās izglītības satura kvalitatīvai ieviešanai pamata un vidējās izglītības pakāpē" otrās projekta iesniegumu atlases kārtas otrās projektu iesniedzēju priekšatlases rezultātiem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12.02.2026. 14:01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4.2.1.5. pasākuma "Izglītības iestāžu nodrošinājums pilnveidotā vispārējās izglītības satura kvalitatīvai ieviešanai pamata un vidējās izglītības pakāpē" otrās projekta iesniegumu atlases kārtas otrās projektu iesniedzēju priekšatlases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papildu finansējumu Eiropas Savienības Kohēzijas politikas programmas 2021.–2027. gadam 4.2.1.5. pasākuma “Izglītības iestāžu nodrošinājums pilnveidotā vispārējās izglītības satura kvalitatīvai ieviešanai pamata un vidējās izglītības pakāpē” otrās projekta iesniegumu atlases kārtas trešajai projektu iesniedzēju priekšatlasei.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kuras šajā kārtā netika atbalstītas (Kuldīgas novada, Limbažu novada un Augšdaugavas novada pašvaldība) ir paudušas gatavību turpināt iesākto darbu un atkārtoti iesaistīties pasākuma īstenošanā. Kopumā ir augsts pieprasījums un pozitīva pieredze pašvaldībās par šo projektu. Pašvaldību vērtējumā šis pasākums ir būtisks un efektīvs atbalsta instruments kvalitatīvas izglītības nodrošināšanai un skolu tīkla sakārtošanas procesa veicināšanai. Divas trešdaļas pašvaldību vēl varētu pretendēt uz finansējumu. Papildu finansējuma piešķiršana ļautu nodrošināt līdzvērtīgas attīstības iespējas arī tām pašvaldībām, kuras līdz šim nav varējušas saņemt atbalstu, tādējādi mazinot reģionālās atšķirības izglītības pieejamībā un kvalitātē. Vienlaikus 2026. gada martā plānota skolu tīkla sakārtošanā izšķirošu normatīvo aktu pieņemšana: “Kritēriji un kārtība, kādā valsts piedalās pedagogu darba samaksas finansēšanā vispārējās pamatizglītības un vispārējās vidējās izglītības pakāpē” un “Kārtība, kādā aprēķina un sadala valsts budžeta mērķdotāciju pedagogu darba samaksai pašvaldību vispārējās izglītības iestādēs un valsts augstskolu vispārējās vidējās izglītības iestādēs”. Finansējuma nodrošināšana 4.2.1.5. pasākuma turpinājumam būtu loģisks solis, lai arī tajās pašvaldībās, kuras līdz nepārprotama normatīvā regulējuma pieņemšanai ieņēma nogaidošu pozīciju, varētu palīdzēt sagatavoties plānotajām izmaiņām un nodrošināt kvalitatīvu izglītības procesu atbilstoši jaunajam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uzsāks komunikāciju ar Finanšu ministriju par papildu finansējuma pārdales iespēju.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2021.–2027. gadam 4.2.1.5. pasākuma "Izglītības iestāžu nodrošinājums pilnveidotā vispārējās izglītības satura kvalitatīvai ieviešanai pamata un vidējās izglītības pakāpē" otrās projekta iesniegumu atlases kārtas otrās projektu iesniedzēju priekšatlases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anotācijā ietvert korektu informāciju. Proti, "</w:t>
            </w:r>
            <w:r w:rsidR="00000000" w:rsidRPr="00000000" w:rsidDel="00000000">
              <w:rPr>
                <w:i w:val="1"/>
                <w:rtl w:val="0"/>
              </w:rPr>
              <w:t xml:space="preserve">[..] otrās projekta iesniegumu atlases kārtas </w:t>
            </w:r>
            <w:r w:rsidR="00000000" w:rsidRPr="00000000" w:rsidDel="00000000">
              <w:rPr>
                <w:i w:val="1"/>
                <w:u w:val="single"/>
                <w:rtl w:val="0"/>
              </w:rPr>
              <w:t xml:space="preserve">otrās projektu iesniedzēju priekšatlases rezultātiem</w:t>
            </w:r>
            <w:r w:rsidR="00000000" w:rsidRPr="00000000" w:rsidDel="00000000">
              <w:rPr>
                <w:i w:val="1"/>
                <w:rtl w:val="0"/>
              </w:rPr>
              <w:t xml:space="preserve">" </w:t>
            </w:r>
            <w:r w:rsidR="00000000" w:rsidRPr="00000000" w:rsidDel="00000000">
              <w:rPr>
                <w:rtl w:val="0"/>
              </w:rPr>
              <w:t xml:space="preserve">nevis</w:t>
            </w:r>
            <w:r w:rsidR="00000000" w:rsidRPr="00000000" w:rsidDel="00000000">
              <w:rPr>
                <w:i w:val="1"/>
                <w:rtl w:val="0"/>
              </w:rPr>
              <w:t xml:space="preserve"> "[..] otrās projekta iesniegumu atlases kārtas </w:t>
            </w:r>
            <w:r w:rsidR="00000000" w:rsidRPr="00000000" w:rsidDel="00000000">
              <w:rPr>
                <w:i w:val="1"/>
                <w:u w:val="single"/>
                <w:rtl w:val="0"/>
              </w:rPr>
              <w:t xml:space="preserve">projektu iesniedzēju priekšatlases rezultātiem</w:t>
            </w:r>
            <w:r w:rsidR="00000000" w:rsidRPr="00000000" w:rsidDel="00000000">
              <w:rPr>
                <w:rtl w:val="0"/>
              </w:rPr>
              <w:t xml:space="preserve">". Tāpat lūdzam precīzi atspoguļot arī citus ar projektu saistītos apstākļus. Piemēram, atbilstoši skaidrojumiem saprotams, ka priekšatlase tika uzsākta atbilstoši Ministru kabineta 2025. gada 28. janvāra noteikumu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12. punktam, lai gan otrās projektu iesniedzēju priekšatlases noteikumi izriet no 12.</w:t>
            </w:r>
            <w:r w:rsidR="00000000" w:rsidRPr="00000000" w:rsidDel="00000000">
              <w:rPr>
                <w:vertAlign w:val="superscript"/>
                <w:rtl w:val="0"/>
              </w:rPr>
              <w:t xml:space="preserve">1</w:t>
            </w:r>
            <w:r w:rsidR="00000000" w:rsidRPr="00000000" w:rsidDel="00000000">
              <w:rPr>
                <w:rtl w:val="0"/>
              </w:rPr>
              <w:t xml:space="preserve">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Eiropas Komisijas priekšlikumus attiecībās uz priekšatlases caurspīdīgumu, lai nodrošinātu pilnīgi izsekojamu, vienlīdzīgu attieksmi pret visām pašvaldībām un mazinātu risku, ka kāda pašvaldība varētu tikt nepamatoti izslēgta no otrās projektu iesniedzēju priekšatlases, rosinām anotāciju papildināt ar kritērijiem, pēc kuriem tika noteikts pašvaldību loks, kas tika uzaicināts dalībai otrajā priekšatlasē.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rīkojuma projekta anotāciju ar finansējuma apjoma salīdzinājumu starp pirmās priekšatlases un otrās priekšatlases ietvaros atlasītajām pašvaldībām, t.i., skaidrojot, vai otrajā priekšatlasē investīciju apjoms pašvaldībām ir proporcionāli pielīdzināms 4.2.1.5.pasākuma 2.kārtas pirmajā priekšatlasē aprēķinātajam finansējuma apjomam pašvaldībām, piemēram, attiecībā uz vienu skolēnu vai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anotācijas vai izziņas ietvaros skaidrot, vai un kādā veidā izvērtējot pieteikumos ietvertās vajadzības ir ņemts vērā, ka atsevišķas pašvaldības jau ir saņēmušas finansējumu Atveseļošanas un noturības mehānisma īstenoto investīciju projektu ietvaros, kā arī lūdzam skaidrot atlases pieejas atšķirības, piemēram, Kuldīgas novada pašvaldības gadījumā, kad pašvaldības pieteikums ir ticis atbalstīts Atveseļošanas un noturības mehānisma 3.1.1.5.i investīcijas “Izglītības iestāžu infrastruktūras pilnveide un aprīkošana” ietvaros, bet nesaņem atbalstu 4.2.1.5.pasākuma 2.kārtā, lai gan abu fondu atbalsta pasākumu virsmērķis ir skolu tīkla sakārtošana.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ir norādīts, ka uzaicināmo pašvaldību loku nosaka MK noteikumi Nr.72, proti, aicina pašvaldības, kas netika iekļautas pirmās projektu iesniedzēju priekšatlases MK rīkojumā. Faktiski uzaicinājums tika nosūtīts 24 pašvaldībām no 42, jo 18 pašvaldības tika iekļautas iepriekšējā MK rīkojumā.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 papildināta ar skaidrojumu par abu priekšatlašu salīdzinājumu.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Vērtējot pašvaldību pieteikumus projektu iesniedzēju priekšatlases ietvaros, netika vērtētas pašvaldības iepriekš saņemtais atbalsts, jo to neparedz projektu iesniedzēju priekšatlases nosacījumi. Saskaņā ar MK noteikumiem Nr. 72, vērtē vispārējās izglītības iestāžu tīkla atbilstību MK noteikumu Nr. 72 1. pielikumam un domes lēmumu pieņemšanas savlaicīgumu (attiecīgi domes lēmumi par izglītības iestādi bija jāpieņem ne vēlāk kā 2025. gada 5. decembrī, ievērojot MK noteikumos Nr. 72 11.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 vērš uzmanību uz šādiem atšķirīgiem projektu iesniedzēju priekšatlašu nosacījumiem šajā pasākumā un 3.1.1.5.i "Izglītības iestāžu infrastruktūras pilnveide un aprīkošana" investīcijā (turpmāk – 3.1.1.5.i investīcija). Lai arī katrā no trim 3.1.1.5.i investīcijas projektu iesniedzēju priekšatlases kārtām nosacījumi (noteikti ar Ministru kabineta 2022. gada 4. oktobra noteikumiem Nr. 619 “Eiropas Savienības Atveseļošanas un noturības mehānisma plāna 3.1.1.5.i investīcijas "Izglītības iestāžu infrastruktūras pilnveide un aprīkošana" īstenošanas noteikumi”) nedaudz atšķiras, tajā vienojošs nosacījums ir, ka novadu pašvaldība reorganizē tādas vispārējās </w:t>
            </w:r>
            <w:r w:rsidR="00000000" w:rsidRPr="00000000" w:rsidDel="00000000">
              <w:rPr>
                <w:u w:val="single"/>
                <w:rtl w:val="0"/>
              </w:rPr>
              <w:t xml:space="preserve">vidējās </w:t>
            </w:r>
            <w:r w:rsidR="00000000" w:rsidRPr="00000000" w:rsidDel="00000000">
              <w:rPr>
                <w:rtl w:val="0"/>
              </w:rPr>
              <w:t xml:space="preserve">izglītības iestādes (</w:t>
            </w:r>
            <w:r w:rsidR="00000000" w:rsidRPr="00000000" w:rsidDel="00000000">
              <w:rPr>
                <w:u w:val="single"/>
                <w:rtl w:val="0"/>
              </w:rPr>
              <w:t xml:space="preserve">vidusskolas</w:t>
            </w:r>
            <w:r w:rsidR="00000000" w:rsidRPr="00000000" w:rsidDel="00000000">
              <w:rPr>
                <w:rtl w:val="0"/>
              </w:rPr>
              <w:t xml:space="preserve">), kur izglītojamo skaits 10.–12. klašu grupā ir mazāks par 60 izglītojamajiem (vai trešajā kārtā atsevišķām vispārējās vidējās izglītības iestādēm – 30). Savukārt 4.2.1.5. pasākuma otrās projekta iesniegumu atlases kārtas abās projektu iesniedzēju priekšatlasēs tiek vērtētas pašvaldību vispārējās izglītības iestādes </w:t>
            </w:r>
            <w:r w:rsidR="00000000" w:rsidRPr="00000000" w:rsidDel="00000000">
              <w:rPr>
                <w:u w:val="single"/>
                <w:rtl w:val="0"/>
              </w:rPr>
              <w:t xml:space="preserve">visās </w:t>
            </w:r>
            <w:r w:rsidR="00000000" w:rsidRPr="00000000" w:rsidDel="00000000">
              <w:rPr>
                <w:rtl w:val="0"/>
              </w:rPr>
              <w:t xml:space="preserve">izglītības pakāpēs, tas ir, sākumskolas, pamatskolas un vidusskolas. Kā minēts rīkojuma projekta anotācijā, tad Kuldīgas novada pašvaldība rīkojuma projektā nav iekļauta ņemot vērā divu tās dibinātu pamatskolu neatbilstību MK noteikumu Nr. 72 1. pielikuma nosacījumiem. Tas ir, tādām izglītības iestādēm, kas nav ņemamas vērā 3.1.1.5.i investīcijas projektu iesniedzēju priekšatlasēs.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anotācijas 6. sadaļā sniegt pilnīgu izpratni par projekta sabiedrības līdzdalības procesu, kas atbilstoši anotācijas 6. sadaļai attiecināms uz konkrēto projektu. Anotācijas 6. sadaļas aizpildīšanā iesakām ievērot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sabiedrības līdzdalība nav paredzēta, sniedzot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26-TA-272</w:t>
    </w:r>
    <w:r>
      <w:br/>
    </w:r>
    <w:r w:rsidR="00000000" w:rsidRPr="00000000" w:rsidDel="00000000">
      <w:rPr>
        <w:rtl w:val="0"/>
      </w:rPr>
      <w:t xml:space="preserve">04.03.2026. 14.25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26-TA-272</w:t>
    </w:r>
    <w:r>
      <w:br/>
    </w:r>
    <w:r w:rsidR="00000000" w:rsidRPr="00000000" w:rsidDel="00000000">
      <w:rPr>
        <w:rtl w:val="0"/>
      </w:rPr>
      <w:t xml:space="preserve">04.03.2026. 14.25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Izziņa_26-TA-272.docx</dc:title>
</cp:coreProperties>
</file>

<file path=docProps/custom.xml><?xml version="1.0" encoding="utf-8"?>
<Properties xmlns="http://schemas.openxmlformats.org/officeDocument/2006/custom-properties" xmlns:vt="http://schemas.openxmlformats.org/officeDocument/2006/docPropsVTypes"/>
</file>