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3. februāra noteikumos Nr. 108 "Normatīvo aktu projektu sagatavošanas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(09.09.2021.)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28.11.2025. 08:37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3., 4., 5. un 7. nodaļā minētās prasības, izņemot šo noteikumu 3.5. un 3.6. apakšnodaļā minētās prasības. Vārdus “Ministru kabinets” attiecīgā locījumā aizstāj ar atvasinātas publiskas personas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kā atvasināta publiska persona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liekos vārdus "kā atvasināta publiska persona". To esība nenes nekādu informatīvu vai juridisku slodzi, tāpēc šie vārdi tekstā ir lieki. Turklāt noteikumos nav paredzēts regulējums, kas pašvaldībai būtu jāievēro ne kā atvasinātai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ievēro šo noteikumu 3., 4., 5., un 6. nodaļā minētās prasības, izņemot šo noteikumu 3.5. un 3.6. apakšnodaļā minētās prasības. Vārdus “Ministru kabinets” attiecīgā locījumā aizstāj ar pašvaldību domes nosaukumu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 un skaidrību.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valodā būtiska nozīme ir vārdu locījumiem. Abreviatūrā saīsināto vārdu locījums ir tikai nojaušams, tāpēc tikai abreviatūras lietošana saīsinājumā var radīt pārpratumus. Tālab abreviatūru saīsinājumā būtu ieteicams lietot tikai kopā ar lokāmo daļu (piemēram, "sistēma NEVIS", kur vārds "sistēma" ir saīsinājuma lokāmā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 un skaidrību. Abreviatūru saīsinājumā lieto kopā ar lokamo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atkārto 43. punktā noteikto regulējumu par vārdkopu lietojumu, jo vārdkopa ir divu vai vairāku vārdu savienojums, kurā vismaz viens vārds lokās un nodrošina gramatisko saikni un nozīmes precizitāti (piemēram, “IT sistēma”). Savukārt abreviatūra ir saīsināts apzīmējums, kas parasti veidots no sākumburtiem un pats par sevi nelokās (piemēram, “ES”,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spēkā esošais regulējums pamatoti nošķir vārdkopu saīsinājumus no abreviatūrām, paredzot atšķirīgu to lietojumu. Tieslietu ministrijas priekšlikums, nosakot, ka abreviatūra lietojama kopā ar lokāmu vārdu, pēc būtības sajauc šos divus jēdzienus, vienlaikus tas nepamatoti ierobežotu vispārzināmu abreviatūru patstāvīgu lietošanu gadījumos, kad tās ir pietiekami skaidras.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 "likumprojektā" un otrajā teikumā otro vārdu "likumprojektā" ar vārdu "likumā". Atvasinātas publiskas personas noteikumi var detalizēt izsludināta likuma, nevis likumprojekta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likumā ietvertu regulējumu. Likumprojektā neietver pilnvarojumu atvasinātai publiskai personai izdot noteikumus jautājumā, kas nav ietverts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likumā ietvertu regulējumu. Likumprojektā neietver pilnvarojumu atvasinātai publiskai personai izdot noteikumus jautājumā, kas nav ietverts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iestādes nosaukums attiecīgā locījumā, vārds “nosaka” un normatīvā akta satura galveno virzienu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apakšpunktā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atvasinātas publiskas personas nosaukums attiecīgā locījumā, vārds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atvasinātas publiskas personas nosaukums attiecīgā locījumā, vārds “nosaka” un normatīvā akta satura galveno virzienu apraksts;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iestādes nosaukums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atvasinātas publiskas personas nosaukums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atvasinātas publiskas personas nosaukums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iestādes nosaukumu attiecīgā locījumā un vārdus “izdod noteikumus, kuros” un normatīvā akta satura galveno virzienu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atvasinātas publiskas personas nosaukumu attiecīgā locījumā un vārdus “izdod noteikumus, kuros”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atvasinātas publiskas personas nosaukumu attiecīgā locījumā un vārdus “izdod noteikumus, kuros” un normatīvā akta satura galveno virzienu apraksts.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iekavās uz likuma un tā grozījumu publikācijām oficiālajā izdevumā "Latvijas Vēstnesis" (oficiālā izdevuma nosaukums, attiecīgo numuru izdošanas gads un numuru uzskaitījums);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norādi iekavās uz likuma un tā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norādi iekavās uz likuma un tā grozījumu publikācijām oficiālajā izdevumā "Latvijas Vēstnesis" (oficiālā izdevuma nosaukums, attiecīgo numuru izdošanas gads un numuru uzskaitījums).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norādi iekavās uz likuma un tā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norādi iekavās uz likuma un tā grozījumu publikācijām oficiālajā izdevumā "Latvijas Vēstnesis" (oficiālā izdevuma nosaukums, attiecīgo numuru izdošanas gads un numuru uzskaitījums).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116.prim punktam līdzīgas normas paredzēt, piem.,  2.10.apakšnodaļā “normas par likuma spēkā esību” vai citur konsekvencei.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nevar noteikt likuma pārejas noteikumos ietveramo jautājumu vai punktu secību, jo tas pārsniedz izpildvaras kompetenci. Saskaņā ar Latvijas Republikas Satversmi likumdošanas vara pieder Saeima, un tikai Saeima ir tiesīga lemt par likumu saturu, struktūru un normatīvo materiālu izkārtojumu, tostarp pārejas noteikumu secību. Ministru kabinets kā izpildvara var izdot ārējos normatīvos aktus tikai likumā noteiktā deleģējuma ietvaros un nevar ar noteikumiem ierobežot likumdevēja rīcības brīvību likumdošanas procesā. Līdz ar to jebkādas Ministru kabineta noteikumos ietvertas prasības par likuma pārejas noteikumu punktu secību ir uzskatāmas vienīgi par ieteikuma rakstura tehniskām vadlīnijām izpildvaras sagatavotajiem projektiem, bet tās nav saistošas Saeimai un nevar tikt interpretētas kā obligāti ievērojams regulējums likumu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nodošanu citai iestēdei (institūcijai) vai noteikumu izpildei paredzētās jaunas iestādes (institūcijas)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pārrakstīšanās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nodošanai citai iestādei (institūcijai) vai noteikumu izpildei paredzētās jaunas iestādes (institūcijas)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nodošanu citai iestādei (institūcijai) vai noteikumu izpildei paredzētās jaunas iestādes (institūcijas) izveidošanai;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tā atšķiras no vispārējās kārtības, ievērojot šo noteikumu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pārrakstīšanās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tas atšķiras no vispārējās kārtības, ievērojot šo noteikumu 156.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tas atšķiras no vispārējās kārtības, ievērojot šo noteikumu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141.8. norādi uz noteikumu un to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141.8. norādi iekavās uz noteikumu un to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141.8. norādi iekavās uz noteikumu un to grozījumu publikācijām oficiālajā izdevumā "Latvijas Vēstnesis" (oficiālā izdevuma nosaukums, attiecīgo numuru izdošanas gads un numuru uzskaitījums);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norādi uz noteikumu un to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norādi iekavās uz noteikumu un to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norādi iekavās uz noteikumu un to grozījumu publikācijām oficiālajā izdevumā "Latvijas Vēstnesis" (oficiālā izdevuma nosaukums, attiecīgo numuru izdošanas gads un numuru uzskaitījums).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Informatīvo atsauci uz Eiropas Savienības tiesību aktiem raksta kā atsevišķu nenumurētu rindkopu ar nosaukumu “Informatīva atsauce uz Eiropas Savienības direktīvām”, ja atsauce ietver šo noteikumu </w:t>
            </w:r>
            <w:r w:rsidR="00000000" w:rsidRPr="00000000" w:rsidDel="00000000">
              <w:rPr>
                <w:rtl w:val="0"/>
              </w:rPr>
              <w:t xml:space="preserve">162.1. </w:t>
            </w:r>
            <w:r w:rsidR="00000000" w:rsidRPr="00000000" w:rsidDel="00000000">
              <w:rPr>
                <w:rtl w:val="0"/>
              </w:rPr>
              <w:t xml:space="preserve">apakšpunktā</w:t>
            </w:r>
            <w:r w:rsidR="00000000" w:rsidRPr="00000000" w:rsidDel="00000000">
              <w:rPr>
                <w:rtl w:val="0"/>
              </w:rPr>
              <w:t xml:space="preserve"> minēto tiesību aktu, vai “Informatīvā atsauce uz Eiropas Savienības direktīvām un regulām, ar ko groza direktīvas”, ja atsauce vienlaikus ietver šo noteikumu </w:t>
            </w:r>
            <w:r w:rsidR="00000000" w:rsidRPr="00000000" w:rsidDel="00000000">
              <w:rPr>
                <w:rtl w:val="0"/>
              </w:rPr>
              <w:t xml:space="preserve">162.3. </w:t>
            </w:r>
            <w:r w:rsidR="00000000" w:rsidRPr="00000000" w:rsidDel="00000000">
              <w:rPr>
                <w:rtl w:val="0"/>
              </w:rPr>
              <w:t xml:space="preserve">apakšpunktā</w:t>
            </w:r>
            <w:r w:rsidR="00000000" w:rsidRPr="00000000" w:rsidDel="00000000">
              <w:rPr>
                <w:rtl w:val="0"/>
              </w:rPr>
              <w:t xml:space="preserve"> minēto tiesību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 vai šis punkts būtu attiecināms uz arī uz 162.2.apakspunktā paredzētajiem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skaidri nodala informatīvo atsauču veidus un to noformēšanu, un 164. punkts ir mērķtiecīgi attiecināts uz tiem gadījumiem, kas paredzēti 162.1. un 162.3. apakšpunktā, proti, uz Eiropas Savienības direktīvām un regulām, ar ko groza direktīvas, jo šajos gadījumos tiek pārņemtas konkrētas Eiropas Savienības tiesību normas un ir nepieciešama vienota, standartizēta informatīvās atsauces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162.2. apakšpunktā minētās tehnisko noteikumu direktīvas pēc savas būtības atšķiras, jo tās neparedz klasisku direktīvu prasību pārņemšanu, bet gan nacionālo normatīvo aktu projektu saskaņošanas caur īpašu tehnisko noteikumu saskaņošanas procedūru ar Eiropas Komisiju. Tādējādi 162.2. apakšpunkta “informatīvā atsauce” būtībā atspoguļo faktu, ka normatīvais akts ir izgājis šo saskaņošanas procedūru, nevis to, ka tas pārņem konkrētas Eiropas Savienības tiesību normas. Tieši šī iemesla dēļ šīm atsaucēm nav nepieciešama 164. punktā paredzētā standartizētā nosaukuma forma, jo to funkcija un juridiskā nozīme ir atšķirīga no direktīvu vai regulu pārņemšanas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164. punkta piemērošanu uz 162.2. apakšpunktu, tiktu nepamatoti sajaukti atšķirīgi tiesiskie nosacījumi un radīta maldinoša vienveidība gadījumos, kas pēc būtības nav salīdzināmi. Tādēļ spēkā esošā redakcija ir saglabājama bez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Informatīvo atsauci uz Eiropas Savienības tiesību aktiem raksta kā atsevišķu nenumurētu rindkopu ar nosaukumu “Informatīva atsauce uz Eiropas Savienības direktīvām”, ja atsauce ietver šo noteikumu </w:t>
            </w:r>
            <w:r w:rsidR="00000000" w:rsidRPr="00000000" w:rsidDel="00000000">
              <w:rPr>
                <w:rtl w:val="0"/>
              </w:rPr>
              <w:t xml:space="preserve">162.1. </w:t>
            </w:r>
            <w:r w:rsidR="00000000" w:rsidRPr="00000000" w:rsidDel="00000000">
              <w:rPr>
                <w:rtl w:val="0"/>
              </w:rPr>
              <w:t xml:space="preserve">apakšpunktā</w:t>
            </w:r>
            <w:r w:rsidR="00000000" w:rsidRPr="00000000" w:rsidDel="00000000">
              <w:rPr>
                <w:rtl w:val="0"/>
              </w:rPr>
              <w:t xml:space="preserve"> minēto tiesību aktu, vai “Informatīvā atsauce uz Eiropas Savienības direktīvām un regulām, ar ko groza direktīvas”, ja atsauce vienlaikus ietver šo noteikumu </w:t>
            </w:r>
            <w:r w:rsidR="00000000" w:rsidRPr="00000000" w:rsidDel="00000000">
              <w:rPr>
                <w:rtl w:val="0"/>
              </w:rPr>
              <w:t xml:space="preserve">162.3. </w:t>
            </w:r>
            <w:r w:rsidR="00000000" w:rsidRPr="00000000" w:rsidDel="00000000">
              <w:rPr>
                <w:rtl w:val="0"/>
              </w:rPr>
              <w:t xml:space="preserve">apakšpunktā</w:t>
            </w:r>
            <w:r w:rsidR="00000000" w:rsidRPr="00000000" w:rsidDel="00000000">
              <w:rPr>
                <w:rtl w:val="0"/>
              </w:rPr>
              <w:t xml:space="preserve"> minēto tiesību 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Informatīvo atsauci uz Eiropas Savienības regulu, ar ko groza direktīvu, veido, ievērojot šajā nodaļā minētās prasības, vārdu “direktīva” (attiecīgā locījumā) aizstājot ar vārdu “regula”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teikuma struktūru, sākot divdabja teicienu ar divdabi.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Informatīvo atsauci uz Eiropas Savienības regulu, ar ko groza direktīvu, veido, ievērojot šajā nodaļā minētās prasības, aizstājot vārdu “direktīva” (attiecīgā locījumā) ar vārdu “regula”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Informatīvo atsauci uz Eiropas Savienības regulu, ar ko groza direktīvu, veido, ievērojot šajā nodaļā minētās prasības, aizstājot vārdu “direktīva” (attiecīgā locījumā) ar vārdu “regula”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vārdus “izdots saskaņā ar” (“izdota saskaņā ar”)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jaunā redakcijā. Vārdkopā "izdots saskaņā ar" vienīgais lokāmais vārds ir "izdots", kas ir darbības vārds. Darbības vārdi nelocās locījumos kā lietvārdi, bet laikā, skaitlī, personā. Ņemot vērā, ka vārda "izdots" lietojums norādē, uz kāda normatīvā akta pamata izdod iekšējo normatīvo aktu, atkarīgs no iekšējā normatīvā akta veida (nomenklatūras vārda) – instrukcija, ieteikumi, reglaments, nolikums, iekšējie noteikumi – šis vārds izlokāms atbilstoši iekšējā normatīvā akta nomenklatūras vārdam – "izdots" [reglaments, nolikums], "izdota" [instrukcija] vai "izdoti" [ieteikumi, iekšējie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vārdus "izdots saskaņā ar", ievērojot iekšējā normatīvā akta nomenklatūras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vārdus "izdots saskaņā ar", ievērojot iekšējā normatīvā akta nomenklatūras vārdu;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vārdus “izdoti saskaņā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jaunā redakcijā. Apakšpunkta redakcija jāsaskaņo ar noteikumu 191.1. apakšpunkta redakciju (arī tad, ja 191.1. apakšpunktu negroza), jo vārdkopā "izdots saskaņā ar" vārda "izdots" personas un skaitļa forma ir atkarīga nevis no tā, vai to izdod uz likuma vai Ministru kabineta noteikumu pamata, bet no iekšējā normatīvā akta nomenklatūras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vārdus "izdots saskaņā ar", ievērojot iekšējā normatīvā akta nomenklatūras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vārdus "izdots saskaņā ar", ievērojot iekšējā normatīvā akta nomenklatūras vārdu;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193.4. vārdu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"noteikumiem" ar vārdu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Norādē, uz kāda normatīvā akta pamata izdod iekšējo normatīvo aktu, raksta konkrētu Ministru kabineta noteikumu vienību, un šādos gadījumos vārdu "noteikumi" lieto ģenitīvā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193.4. vārdu "noteikumu";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193.4. vārdu "noteikumu";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08.08.2025.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aktualizēt anotācijas 6.sadaļā atsauci uz Ministru kabineta </w:t>
            </w:r>
            <w:r w:rsidR="00000000" w:rsidRPr="00000000" w:rsidDel="00000000">
              <w:rPr>
                <w:u w:val="single"/>
                <w:rtl w:val="0"/>
              </w:rPr>
              <w:t xml:space="preserve">2024.gada 15.oktobra noteikumiem Nr.639 </w:t>
            </w:r>
            <w:r w:rsidR="00000000" w:rsidRPr="00000000" w:rsidDel="00000000">
              <w:rPr>
                <w:rtl w:val="0"/>
              </w:rPr>
              <w:t xml:space="preserve">"Sabiedrības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kā atvasināta publiska persona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punkta nepieciešamību vai tā precizēšanu. Vēršam uzmanību, ka pašvaldību saistošo noteikumu projektiem piemērojamās prasības  ir noteiktas noteikumu 6.nodaļā. Attiecīgajā nodaļā ir ietvertas atsauces uz konkrētām nodaļām un apakšnodaļām, kuras ir piemērojamas, izstrādājot saistošos noteikumus (piemēram, 184., 186. un 187. punktā). Papildus noteikumu 184. punktā jau ir noteikts, ka  pašvaldību saistošo noteikumu projekta teksta iedalījumu veido, ievērojot šo noteikumu 3.3.apakšnodaļā minētās prasības, vārdus “Ministru kabinets” (attiecīgā locījumā) aizstājot ar vārdiem “pašvaldības dome” (attiecīgā locījumā). Savukārt noteikumu 186. punktā ir noteikts, ka  pašvaldību saistošo noteikumu grozījumu projektu veido, ievērojot šo noteikumu 3.8.apakšnodaļā minētās prasības, vārdus “Ministru kabinets” (attiecīgā locījumā) aizstājot ar vārdiem “pašvaldības dome”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181. un 183. punktā ir noteikts, kā tiek noformēta norāde, uz kāda normatīvā akta (likuma vai Ministru kabineta noteikumu) pamata pašvaldību saistošo noteikumu projekts sagatavots. Līdz ar to uz pašvaldību saistošajiem noteikumiem nav attiecināms 3.2.apakšnodaļā paredzētais regulējums. Arī 3.1.apakšnodaļā paredzētais regulējums nav attiecināms uz pašvaldību saistošajiem noteikumiem, jo minētais ir regulēts 176., 177., 178. un 179. punktā. Tātad nav piemērojama visa 3.nodaļa.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Atsauces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jomas regulās, ar kurām tiek grozītas direktīvas, tiek ietverta norma par direktīvu transponēšanu (“Kad dalībvalstis pieņem minētos noteikumus, tajos ietver atsauci uz šo regulu vai arī šādu atsauci pievieno to oficiālajai publikācijai”),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19. oktobra regulas (ES) 2022/2036, ar ko groza regulu (ES) Nr. 575/2013 un direktīvu 2014/59/ES attiecībā uz prudenciālo režīmu globālām sistēmiski nozīmīgām iestādēm ar noregulējuma stratēģiju ar vairākām noregulējuma iestādēm un metodēm attiecībā uz netiešu parakstīšanos uz instrumentiem, kas ir atbilstīgi, lai izpildītu minimuma prasību pašu kapitālam un atbilstīgajām saistībām,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 gada 13. marta regulas (ES) Nr. 2024/886, ar ko groza regulas (ES) Nr. 260/2012 un (ES) 2021/1230 un direktīvas 98/26/EK un (ES) 2015/2366 attiecībā uz tūlītējiem kredīta pārvedumiem </w:t>
            </w:r>
            <w:r w:rsidR="00000000" w:rsidRPr="00000000" w:rsidDel="00000000">
              <w:rPr>
                <w:i w:val="1"/>
                <w:rtl w:val="0"/>
              </w:rPr>
              <w:t xml:space="preserve">euro</w:t>
            </w:r>
            <w:r w:rsidR="00000000" w:rsidRPr="00000000" w:rsidDel="00000000">
              <w:rPr>
                <w:rtl w:val="0"/>
              </w:rPr>
              <w:t xml:space="preserve">,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grozījumi tiek veikti ar regulu, tie attiecas uz direktīvu un nav tieši piemērojami. Tādēļ šādi direktīvas grozījumi ir jātransponē nacionālajā tiesību sistēmā tādā pašā kārtībā, kā tas tiek darīts ar direktīvu normām. Turklāt grozījumi ir arī notificējami THEMIS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izstrādāts risinājums – regulas, kas groza direktīvas, tiek iekļautas likumu informatīvajās atsaucēs uz Eiropas Savienības direktīvām analoģiski tam, kā tiek norādītas informatīvās atsauces uz direktīvām,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Kredītiestāžu un ieguldījumu brokeru sabiedrību darbības atjaunošanas un noregulējuma likuma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norēķinu galīgumu maksājumu un finanšu instrumentu norēķinu sistēmās”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pakalpojumu un elektroniskās naudas likuma informatīvas atsauces uz Eiropas Savienības direktīvām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Eiropas Savienības regulu prasību par grozīto direktīvu transponēšanu izpildei, izsakām priekšlikumu ietvert atbilstošu regulējumu noteikumu 4. nodaļā “Atsauces uz Eiropas Savienības tiesību aktiem” par to, kā veido atsauci uz Eiropas Savienības regulām, kas groza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iespējamo risinājumu piedāvājam papildināt noteikumu 4. nodaļas 162.1. apakšpunktu šādā redakcijā: "162.1. informatīvas atsauces uz Eiropas Savienības direktīvām</w:t>
            </w:r>
            <w:r w:rsidR="00000000" w:rsidRPr="00000000" w:rsidDel="00000000">
              <w:rPr>
                <w:u w:val="single"/>
                <w:rtl w:val="0"/>
              </w:rPr>
              <w:t xml:space="preserve"> un regulām, ar ko groza direktīvas</w:t>
            </w:r>
            <w:r w:rsidR="00000000" w:rsidRPr="00000000" w:rsidDel="00000000">
              <w:rPr>
                <w:rtl w:val="0"/>
              </w:rPr>
              <w:t xml:space="preserve">, ja likumprojektā vai noteikumu projektā ir iekļautas tiesību normas, kas pārņem Eiropas Savienības direktīvas prasības;" vai arī papildināt nodaļu ar jaunu 162.3. apakšpunktu šādā redakcijā: “</w:t>
            </w:r>
            <w:r w:rsidR="00000000" w:rsidRPr="00000000" w:rsidDel="00000000">
              <w:rPr>
                <w:u w:val="single"/>
                <w:rtl w:val="0"/>
              </w:rPr>
              <w:t xml:space="preserve">162.3. informatīvas atsauces uz Eiropas Savienības regulām, ar ko groza direktīvas, ja likumprojektā vai noteikumu projektā ir iekļautas tiesību normas, kas pārņem Eiropas Savienības direktīvas prasības</w:t>
            </w:r>
            <w:r w:rsidR="00000000" w:rsidRPr="00000000" w:rsidDel="00000000">
              <w:rPr>
                <w:rtl w:val="0"/>
              </w:rPr>
              <w:t xml:space="preserve">”, atbilstoši precizējot arī turpmākos noteikumu punktus. Piedāvātie grozījumi nodrošinātu juridisko noteiktību un atbilstību Eiropas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Atsauces uz Eiropas Savienības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Informatīvo atsauci uz Eiropas Savienības direktīvām raksta kā atsevišķu nenumurētu rindkopu ar nosaukumu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(Saeimas Juridiskais birojs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Saeimas Juridiskā biroja ieskata, būtu pilnveidojama un turpināma jau iedibinātā prakse atsaukties vienkopus gan uz Eiropas Savienības regulām, ar kurām tiek grozītas Eiropas Savienības direktīvas, gan uz attiecīgajām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tajos gadījumos, kad likumā tiks ietvertas atsauces uz Eiropas Savienības regulām, ar ko groza direktīvas, attiecīgās sadaļas nosaukums būtu izsakāms šādā redakcijā: “Informatīvā atsauce uz Eiropas Savienības direktīvām un regulām, ar ko groza direktīvas”. Savukārt tajos gadījumos, kad atsauces uz regulām, ar ko groza Eiropas Savienības direktīvas, normatīvajā aktā nav jāietver, sadaļas nosaukums būtu formulējams tāpat kā līdz šim: “Informatīvā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Informatīvo atsauci uz Eiropas Savienības tiesību aktiem raksta kā atsevišķu nenumurētu rindkopu ar nosaukumu “Informatīva atsauce uz Eiropas Savienības direktīvām”, ja atsauce ietver šo noteikumu </w:t>
            </w:r>
            <w:r w:rsidR="00000000" w:rsidRPr="00000000" w:rsidDel="00000000">
              <w:rPr>
                <w:rtl w:val="0"/>
              </w:rPr>
              <w:t xml:space="preserve">162.1. </w:t>
            </w:r>
            <w:r w:rsidR="00000000" w:rsidRPr="00000000" w:rsidDel="00000000">
              <w:rPr>
                <w:rtl w:val="0"/>
              </w:rPr>
              <w:t xml:space="preserve">apakšpunktā</w:t>
            </w:r>
            <w:r w:rsidR="00000000" w:rsidRPr="00000000" w:rsidDel="00000000">
              <w:rPr>
                <w:rtl w:val="0"/>
              </w:rPr>
              <w:t xml:space="preserve"> minēto tiesību aktu, vai “Informatīvā atsauce uz Eiropas Savienības direktīvām un regulām, ar ko groza direktīvas”, ja atsauce vienlaikus ietver šo noteikumu </w:t>
            </w:r>
            <w:r w:rsidR="00000000" w:rsidRPr="00000000" w:rsidDel="00000000">
              <w:rPr>
                <w:rtl w:val="0"/>
              </w:rPr>
              <w:t xml:space="preserve">162.3. </w:t>
            </w:r>
            <w:r w:rsidR="00000000" w:rsidRPr="00000000" w:rsidDel="00000000">
              <w:rPr>
                <w:rtl w:val="0"/>
              </w:rPr>
              <w:t xml:space="preserve">apakšpunktā</w:t>
            </w:r>
            <w:r w:rsidR="00000000" w:rsidRPr="00000000" w:rsidDel="00000000">
              <w:rPr>
                <w:rtl w:val="0"/>
              </w:rPr>
              <w:t xml:space="preserve"> minēto tiesību aktu.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02.08.2024. 16:21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3. februāra noteikumos Nr. 108 "Normatīvo aktu projektu sagatavošanas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 panta 2.punkts nosaka, ka pašvaldība ir  atvasināta publiska persona, līdz ar ko MK noteikumu projektā atsevišķās vietās jāprecizē, jākonkretizē lietotais termins "atvasināta publiska persona", papildinot to ar vārdiem “izņemot pašvaldības”, jo tādejādi MK noteikumu projekts rada pretruna starp līdzšinējo, spēkā esošo  Ministru kabineta 2009. gada 3. februāra noteikumu Nr. 108 “Normatīvo aktu projektu sagatavošanas noteikumi”  3.5. apakšnodaļā  un 6.nodaļā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nodalītu prasības, kas attiecināmas uz atvasinātām publiskām personām, no prasībām, kas attiecināmas uz pašvaldībām kā atvasinātām publiskām personām, noteikumu projekts papildināts ar 5.</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anotācijā iekļaut skaidrojumu, ka normas mērķis atsevišķos gadījumos ir noteikt vienotas prasības atvasinātām publiskām personām, izņemot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tam, pildot savas funkcijas, nav saistošs Sabiedrisko elektronisko plašsaziņas līdzekļu un to pārvaldības likums, proti Regulators savas funkcijas realizē atbilstoši likumam “Par sabiedrisko pakalpojumu regulatoriem”, ņemot vērā šo faktu Regulators izsaka iebildumu un lūdz precizēt vai svītrot anotācijas 1.3.sadaļā “Pašreizējā situācija, problēmas un risinājumi” iekļauto teikumu “Ievērojot Latvijas Bankas likuma 3. pantu un Sabiedrisko elektronisko plašsaziņas līdzekļu un to pārvaldības likuma 12. panta otro daļu,- abas institūcijas ir atvasinātas publiskas personas,- tāpēc veicamie grozījumi nemainīs normatīvā akta prasības, kas uz tām attiecināmas.”, kā arī papildus skatīt iebildumu Grozījumu projekta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svarīgākās juridiskās tehnikas prasības, kuras tiešās pārvaldes iestādes, atvasinātas publiskas personas un pastarpinātās pārvaldes iestādes ievēro, sagatavojot normatīvo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(turpmāk – TAP portāls) 2024.gada 2.augustā saskaņošanai pieteiktos grozījumus Ministru kabineta 2009.gada 3.februāra noteikumos Nr.108 "Normatīvo aktu projektu sagatavošanas noteikumi" (23-TA-767)  (turpmāk – Grozījumu projekts), tā sākotnējās ietekmes novērtējuma ziņojumu (anotāciju) un izsaka šādus iebildumus par terminu lietojumu Grozījumu projekta 1.-4.punktos.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1.panta pirmās daļas 2.punktu, “atvasināta publiska persona ir pašvaldība vai cita ar likumu vai uz likuma pamata izveidota publiska persona. Tai ar likumu piešķirta sava autonoma kompetence, kas ietver arī sava budžeta veidošanu un apstiprināšanu. Tai var būt sava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(turpmāk – MK noteikumi) 2.5.nodaļa paredz nosacījumu, ka Regulatora un Latvijas Bankas izdotajiem noteikumiem ir ārējā normatīvā akta spēks, savukārt, Oficiālo publikāciju un tiesiskās informācijas likuma 9.panta otrā daļa noteic, ka “ārējie normatīvie akti, kurus savas autonomās kompetences jautājumos izdevusi atvasināta publisko tiesību juridiskā persona (autonoms publisko tiesību subjekts), juridiskā spēka hierarhijā pielīdzināmi Ministru kabineta noteikumiem, ja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ir institucionāli un funkcionāli neatkarīgs, pilntiesīgs, autonoms publisko tiesību subjekts, kas saskaņā ar likumu "Par sabiedrisko pakalpojumu regulatoriem" un regulējamo nozaru speciālajiem normatīvajiem aktiem realizē sabiedrisko pakalpojumu regulēšanu enerģētikas, elektronisko sakaru, pasta, ūdenssaimniecības, depozīta iepakojuma apsaimniekošanas un sadzīves atkritumu apsaimniekošanas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7.panta sestajai daļai Regulators ir “atvasināta publisko tiesību juridiskā persona”, kuram savas autonomās kompetences jautājumos ir tiesības izdot ārējos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Valsts kancelejas uzmanību uz faktu, ka ne visām Latvijas Republikas Uzņēmumu reģistra uzturētā sarakstā “Publisko personu un iestāžu saraksts”  iekļautajām atvasinātajām publiskajām personām (kas nav pašvaldības) ir tiesības izdot ārējos normatīvos aktus - noteikumus. Proti, lielākajam vairumam atvasināto publisko personu (izņemot pašvaldības) šādas tiesības nav deleģētas.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Oficiālo publikāciju un tiesiskās informācijas likumā noteiktajam regulējumam atvasināto publisko personu loks, kam ir tiesības izdot ārējus normatīvos aktus, ir sašaurināts, proti, tādas tiesības ir atvasinātai publisko tiesību juridiskai personai (autonomam publisko tiesību subjektam), attiecīgi – Regulatoram un Latvijas Bankai, kā tas ir pašreiz spēkā esošajā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Grozījumu projekta anotācijā ir atsauce uz Valsts pārvaldes iekārtas likumā lietoto terminu “atvasināta publiskā persona”, Regulators vērš uzmanību, ka minētais likums uzskatāms par vispārēju tiesību aktu, savukārt, Oficiālo publikāciju un tiesiskās informācijas likums ir uzskatāms par speciālu tiesību aktu pretstatā Valsts pārvaldes iekārtas likumam. Kā papildu arguments minams, ka Oficiālo publikāciju un tiesiskās informācijas likums tas ir jaunāks tiesību akts, līdz ar to Regulatora ieskatā juridiski korekti būtu lietot jēdzienu, kāds ir ietverts Oficiālo publikāciju un tiesiskās informācijas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izsaka šādu iebildumu aicina Valsts kanceleju precizēt Grozījumu projektu, paredzot ka Grozījumu projekts attiecas specifiski uz iestādēm, kurām ir tiesības izdot ārējos normatīvos aktus, proti - uz atvasinātām publisko tiesību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svarīgākās juridiskās tehnikas prasības, kuras tiešās pārvaldes iestādes, atvasinātas publisko tiesību juridiskās personas un pastarpinātās pārvaldes iestādes ievēro, sagatavojot normatīvo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95. pantam, Ministru kabinetam ir dots nepārprotami skaidrs pilnvarojums noteikt svarīgākās juridiskās tehnikas prasības, kuras tiešās pārvaldes iestādes, atvasinātas publiskas personas un pastarpinātās pārvaldes iestādes ievēro, sagatavojot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1. panta otrajam punktam - atvasināta publiska persona ir pašvaldība vai cita ar likumu vai uz likuma pamata izveidota publiska persona. Tātad tie ir visi subjekti, kam valsts ir piešķīrusi publiskās pārvaldes funkcijas. SPRK juridiskais statuss atšķiras, jo tā nav atvasināta publiska persona šī termina klasiskajā izpratnē, bet gan juridiska persona, kurai valsts piešķīrusi tiesības un kompetences darboties publisko tiesību jomā konkrēta jautājuma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līdz 2011. gadam SPRK juridiskais statuss tika definēts kā juridiska persona, taču, veicot attiecīgos likuma grozījumus, toreizējais ekonomikas ministrs Artis Kampars ierosināja SPRK statusu pamatot ar frāzi “atvasināta publisko tiesību juridiska persona”. Diemžēl šobrīd vairs nav iespējams iepazīties ar veikto grozījumu pamatojumu, lai izprastu to patieso mērķi. Tomēr esošā definīcija paredz, ka SPRK ir neatkarīgs publisko tiesību subjekts, kas darbojas publisko tiesību jomā, pieņemot lēmumus un nosakot vienotas prasības sabiedrisko pakalpojumu regulēšanas jomā. To apstiprina arī Oficiālo publikāciju un tiesiskās informācijas likuma 9. panta otrā daļa, kas nosaka, ka ārējie normatīvie akti, kurus savas kompetences ietvaros izdevusi atvasināta publisko tiesību juridiska persona, juridiskā spēka hierarhijā ir pielīdzināmi Ministru kabineta noteikumiem, ja likums nenosaka citādi. Tas apliecina, ka SPRK izdotie normatīvie akti ir saistoši, taču to izdošanas pilnvaras ir specifiskas un atšķiras no atvasinātu publisko personu pilnvarām. Neskatoties uz juridiskā statusa atšķirībām, SPRK tiktāl, ciktāl tā darbojas publisko tiesību jomā - ir pielīdzināma atvasinātai publiskai personai un uz to ir attiecināmas prasības normatīvo aktu izstrādei. Attiecīgais skaidrojums ir iekļauts normatīvā akta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svarīgākās juridiskās tehnikas prasības, kuras tiešās pārvaldes iestādes, atvasinātas publiskas personas un pastarpinātās pārvaldes iestādes ievēro, sagatavojot normatīvo aktu projektus.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normatīvā akta (noteikumu) projektu, atvasināta publisko tiesību juridiska persona ievēro šo noteikumu 3., 4., 5. un 7. nodaļā minētās prasības, izņemot šo noteikumu 3.5. un 3.6. apakšnodaļā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4.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5. punkta jaunās redakcijas vārdu iekavās "(noteikumu)", jo šajā punktā ir atsauce arī uz noteikumu 7. nodaļu. Tādējādi secināms, ka noteikumu 5. punkts attiecas arī uz iekšējiem normatīvajiem aktiem (tai skaitā instrukcijām un ieteikumiem, ne tikai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Valsts pārvaldes iekārtas likuma 1. panta 2. punktu arī pašvaldība ir atvasināta publiska persona. Tādēļ ierosinām pārskatīt un precizēt tās projekta normas, kurās plānots aizstāt konkrētu iestāžu nosaukumus ar terminu "atvasināta publiska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5. punktā svītrot vārdu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atsevišķos punktos nodalīt prasības, kas attiecināmas uz atvasinātām publiskām personām (5. punkts), no prasībām, kas attiecināmas uz pašvaldībām kā atvasinātām publiskām personām (5.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abreviatūras neizmanto. Saīsinājumā pieļaujams izmantot vispārzināmas abreviatūras.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grozāmo noteikumu 44. punktu, atļaujot izmantot vārdkopu saīsinājumos ne tikai vispārzināmas abreviatūras, jo praksē tas var būt nepieciešams, lai atvieglotu normu uztveramību. Turklāt abreviatūras vārdkopu saīsinājumos jau šobrīd tiek lietotas  normatīvajos aktos, kaut arī grozāmie noteikumi to nepārprotami aizliedz. Piemēram, Privāto pensiju fondu likumā lietoti tādi vārdkopu saīsinājumi kā "PEPP noguldītājs", "PEPP saņēmējs", "PEPP sniedzējs" u.tml., bet Ministru kabineta 2021. gada 7. septembra noteikumos Nr. 606 "Ministru kabineta kārtības rullis" ir lietots saīsinājums "TAP portāls". Arī grozāmo noteikumu 174. punktā paredzēts, ka normatīvajos aktos norādi uz Latvijas nacionālajiem standartiem veido, izmantojot abreviatūru "LVS". Lai abreviatūru lietošana vārdkopu saīsinājumos neradītu atšķirīgas interpretācijas iespējas dēļ vārdu galotnēm, kuras abreviatūrās nav redzamas, precizējot 44. punktu, ierosinām paredzēt nosacījumu, kā vārdkopu saīsinājumi ar abreviatūrām būtu veidojami. Proti, abreviatūru vārdkopas saīsinājumā atļauts lietot, ja saīsinājums nodrošina iespēju redzēt, kādā locījumā saīsinātā vārdkopa tekstā lietota. Piemēram, vārdkopu "Tiesību aktu izstrādes un saskaņošanas portāls" var saīsināt kā "TAP portāls". Šāds nosacījums neatceļ grozāmo noteikumu 43. punktā ietverto prasību saīsinājumu normatīvā akta tekstā vispirms atrunāt.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Izņēmuma gadījumā saīsinājumā var izmantot abreviatūru, ja saīsinājums nodrošina iespēju saprast, kādā locījumā saīsinātā vārdkopa tekstā lietota."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Abriviatūru izmantošana saīsinājumos un vārdkopās ir pieļaujama, ja tas veicina normatīvā aktu skaidrību, uztveramību, efektivitāti un atbilst juridiskajai praksei. Papildus tas samazina administratīvo slogu un nodrošina saskaņotību ar nozaru terminoloģiju. Grozījumi 44. punktā paredz svītrot aizliegumu izmantot abriviatūras saīsinājumos, jo tas neatbilst esošajai juridiskajai tehnikai un praksei. Vienlaikus jāņem vērā, ka, lai novērstu iespējamas neskaidrības, sākotnēji abriviatūra vai saīsināmā vārdkopa jādefinē normatīvā akta projekta sākumā vai attiecīgajā likumprojekta vienībā, kā to pieļauj labas likumdošanas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2.5.Pilnvarojums atvasinātai publisko tiesību juridiska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4.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likumprojekta izpildes nodrošināšanai izdot ārēju normatīvo aktu – noteikumus. Pilnvarojumā detalizēti nosaka atvasinātas publiskas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publisko tiesību juridiskai personai likumprojekta izpildes nodrošināšanai izdot ārēju normatīvo aktu – noteikumus. Pilnvarojumā detalizēti nosaka atvasinātas publisko tiesību juridiskās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4.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(izņemot pilnvarojumu pašvaldības domei) likumprojekta izpildes nodrošināšanai izdot ārēju normatīvo aktu – noteikumus. Pilnvarojumā detalizēti nosaka atvasinātas publiskas personas noteikumu satura galvenos virzienus.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publisko tiesību juridiskas personas noteikumi detalizē likumprojektā ietvertu regulējumu. Likumprojektā neietver pilnvarojumu atvasinātai publisko tiesību juridiskai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4.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likumā ietvertu regulējumu. Likumprojektā neietver pilnvarojumu atvasinātai publiskai personai izdot noteikumus jautājumā, kas nav ietverts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šādiem paņēmieniem: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51. punktu, lai juridiskā tehnika būtu vienāda gan pilnvarojumiem Ministru kabinetam, gan pilnvarojumiem atvasinātām publiskām personām (piemēram, Latvijas Bankai), jo pastāvošām atšķirībām pilnvarojumu formulējumos nesaskatām objektīvu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šo noteikumu 47. punktā minētajiem paņēmieniem."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juridiskās tehnikas prasības pilnvarojumu formulēšanai gan Ministru kabineta, gan atvasinātas publiskas personas, gan pašvaldību izdotajiem ārējiem normatīvajiem aktiem, noteikumi tiek papildināti ar 51.3.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šādiem paņēmieniem: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Noteikumu projekta vienības apzīmē (numurē):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107. punktā ietvertā prasība atšķirīgi numurēt nodaļas atkarībā no apakšnodaļu esamības rada lieku administratīvo slogu Latvijas Bankai, sagatavojot iekšējo normatīvo aktu un ārējo normatīvo aktu (Latvijas Bankas noteikumu) grozījumus. Ja grozījumu rezultātā jāpieliek apakšnodaļas tādam normatīvajam aktam, kuram iepriekš nebija apakšnodaļu, tad numerācija jāmaina manuāli visā normatīvā akta tekstā (arī atsaucēs). Tas nelietderīgi patērē Latvijas Bankas resursus tās normatīvo aktu sagatavošanas procesā un vairo kļūdu iespējamību numerācijā. Ņemot vērā minēto un to, ka prasībai atšķirīgi numurēt nodaļas atkarībā no apakšnodaļu esamības nav objektīva pamata, lūdzam atcelt minēto prasību vai arī paredzēt, ka minētā prasība nav attiecināma uz atvasināto publisko personu (tātad, arī Latvijas Bankas) izdotajiem normatīvajiem aktiem (gan ārējiem, gan iekšējiem).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prasības par normatīvo aktu projektu numerāciju ir būtiskas juridiskās tehnikas sastāvdaļas, jo tas nodrošina standartizētu pieeju normatīvo aktu projektu strukturēšanai, kā arī nodrošina juridiskās tehnikas konsekvenci un dokumenta uztveramību. Normatīvajos aktos skaidra struktūra ir būtiska, lai adresāti varētu ātri uztvert regulējumu. Tomēr jāatzīst, ka esoša prakse gan romiešu, gan arābu ciparu izmantošanā ir balstīta juridiskās tehnikas tradīcijās. Vienlaikus norādu, ka esošā pieeja numerācijas veidošanai ir iestrādāta TAP portāla dokumentu struktūrā un funkcionalitātē, tāpēc jebkādas izmaiņas numerāciju veidošanā ir saistītas ar TAP portāla pielāgošanas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atvasināto publisko personu, tai skaitā Latvijas Bankas, izstrādātajiem normatīvajiem aktiem var piemērot Noteikumu Nr. 108 4. punkta nosacījumu, ka gadījumā, ja noteikumu prasību piemērošana apgrūtina normatīvā akta projekta uztveramību un skaidrību, attiecīgo normu var nepiemērot.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Noteikumu projekta vienības apzīmē (numurē):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116.</w:t>
            </w:r>
            <w:r w:rsidR="00000000" w:rsidRPr="00000000" w:rsidDel="00000000">
              <w:rPr>
                <w:vertAlign w:val="superscript"/>
                <w:rtl w:val="0"/>
              </w:rPr>
              <w:t xml:space="preserve">1</w:t>
            </w:r>
            <w:r w:rsidR="00000000" w:rsidRPr="00000000" w:rsidDel="00000000">
              <w:rPr>
                <w:rtl w:val="0"/>
              </w:rPr>
              <w:t xml:space="preserve"> punkts būs attiecināms ne tikai uz Ministru kabineta noteikumu izstrādi, bet arī uz atvasināto publisko personu (tātad, arī Latvijas Bankas) izdotajiem noteikumiem un iekšējiem normatīvajiem aktiem, lūdzam pārskatīt 116.</w:t>
            </w:r>
            <w:r w:rsidR="00000000" w:rsidRPr="00000000" w:rsidDel="00000000">
              <w:rPr>
                <w:vertAlign w:val="superscript"/>
                <w:rtl w:val="0"/>
              </w:rPr>
              <w:t xml:space="preserve">1</w:t>
            </w:r>
            <w:r w:rsidR="00000000" w:rsidRPr="00000000" w:rsidDel="00000000">
              <w:rPr>
                <w:rtl w:val="0"/>
              </w:rPr>
              <w:t xml:space="preserve"> punktā paredzēto secību noslēguma jautājumiem. Vēršam uzmanību, ka 116.</w:t>
            </w:r>
            <w:r w:rsidR="00000000" w:rsidRPr="00000000" w:rsidDel="00000000">
              <w:rPr>
                <w:vertAlign w:val="superscript"/>
                <w:rtl w:val="0"/>
              </w:rPr>
              <w:t xml:space="preserve">1</w:t>
            </w:r>
            <w:r w:rsidR="00000000" w:rsidRPr="00000000" w:rsidDel="00000000">
              <w:rPr>
                <w:rtl w:val="0"/>
              </w:rPr>
              <w:t xml:space="preserve"> punktā piedāvātā secība palielinās "prim" punktu skaitu gadījumos, kad tiek grozīts normatīvais akts, kuram sākotnēji bija tikai 1 noslēguma jautājums par citu noteikumu atzīšanu par spēku zaudējušiem. Ievērojot minēto, ierosinām punktu par citu noteikumu atzīšanu par spēku zaudējušiem noslēguma jautājumos rakstīt kā pirmo vai arī paredzēt, ka 116.</w:t>
            </w:r>
            <w:r w:rsidR="00000000" w:rsidRPr="00000000" w:rsidDel="00000000">
              <w:rPr>
                <w:vertAlign w:val="superscript"/>
                <w:rtl w:val="0"/>
              </w:rPr>
              <w:t xml:space="preserve">1</w:t>
            </w:r>
            <w:r w:rsidR="00000000" w:rsidRPr="00000000" w:rsidDel="00000000">
              <w:rPr>
                <w:rtl w:val="0"/>
              </w:rPr>
              <w:t xml:space="preserve"> punkta prasības neattiecas uz atvasināto publisko personu izdotajiem normatīvajiem aktiem (gan ārējiem, gan iekšējiem).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jautājumu secība ir veidota ievērojot hronoloģisku un sistēmisku pieeju, kas atspoguļo normatīvā akta dzīves ciklu – no tā piemērošanas nosacījumiem līdz spēkā stāšanās un derīguma beigām. Šī secība ne tikai nodrošina skaidrību, bet arī atvieglo normu interpretāciju un piemērošanu, samazinot riskus nepilnīgam vai pretrunīgam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pārejas mehānismi (116.</w:t>
            </w:r>
            <w:r w:rsidR="00000000" w:rsidRPr="00000000" w:rsidDel="00000000">
              <w:rPr>
                <w:vertAlign w:val="superscript"/>
                <w:rtl w:val="0"/>
              </w:rPr>
              <w:t xml:space="preserve">1</w:t>
            </w:r>
            <w:r w:rsidR="00000000" w:rsidRPr="00000000" w:rsidDel="00000000">
              <w:rPr>
                <w:rtl w:val="0"/>
              </w:rPr>
              <w:t xml:space="preserve">1.–116.</w:t>
            </w:r>
            <w:r w:rsidR="00000000" w:rsidRPr="00000000" w:rsidDel="00000000">
              <w:rPr>
                <w:vertAlign w:val="superscript"/>
                <w:rtl w:val="0"/>
              </w:rPr>
              <w:t xml:space="preserve">1</w:t>
            </w:r>
            <w:r w:rsidR="00000000" w:rsidRPr="00000000" w:rsidDel="00000000">
              <w:rPr>
                <w:rtl w:val="0"/>
              </w:rPr>
              <w:t xml:space="preserve">3. apakšpunkts) - vispirms norāda, kā tiks nodrošināta nepārtrauktība starp veco un jauno regulējumu (116.</w:t>
            </w:r>
            <w:r w:rsidR="00000000" w:rsidRPr="00000000" w:rsidDel="00000000">
              <w:rPr>
                <w:vertAlign w:val="superscript"/>
                <w:rtl w:val="0"/>
              </w:rPr>
              <w:t xml:space="preserve">1</w:t>
            </w:r>
            <w:r w:rsidR="00000000" w:rsidRPr="00000000" w:rsidDel="00000000">
              <w:rPr>
                <w:rtl w:val="0"/>
              </w:rPr>
              <w:t xml:space="preserve">1. – atbildīgā iestāde; 116.</w:t>
            </w:r>
            <w:r w:rsidR="00000000" w:rsidRPr="00000000" w:rsidDel="00000000">
              <w:rPr>
                <w:vertAlign w:val="superscript"/>
                <w:rtl w:val="0"/>
              </w:rPr>
              <w:t xml:space="preserve">1</w:t>
            </w:r>
            <w:r w:rsidR="00000000" w:rsidRPr="00000000" w:rsidDel="00000000">
              <w:rPr>
                <w:rtl w:val="0"/>
              </w:rPr>
              <w:t xml:space="preserve">2. – nepārtrauktības nosacījumi; 116.</w:t>
            </w:r>
            <w:r w:rsidR="00000000" w:rsidRPr="00000000" w:rsidDel="00000000">
              <w:rPr>
                <w:vertAlign w:val="superscript"/>
                <w:rtl w:val="0"/>
              </w:rPr>
              <w:t xml:space="preserve">1</w:t>
            </w:r>
            <w:r w:rsidR="00000000" w:rsidRPr="00000000" w:rsidDel="00000000">
              <w:rPr>
                <w:rtl w:val="0"/>
              </w:rPr>
              <w:t xml:space="preserve">3. – piemērošanas kārtība), jo pirms jaunie noteikumi spēkā stājas, ir jānosaka, kas un kā tos īstenos, lai izvairītos no tiesiskā vakuuma;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īpašie piemērošanas noteikumi (116.</w:t>
            </w:r>
            <w:r w:rsidR="00000000" w:rsidRPr="00000000" w:rsidDel="00000000">
              <w:rPr>
                <w:vertAlign w:val="superscript"/>
                <w:rtl w:val="0"/>
              </w:rPr>
              <w:t xml:space="preserve">1</w:t>
            </w:r>
            <w:r w:rsidR="00000000" w:rsidRPr="00000000" w:rsidDel="00000000">
              <w:rPr>
                <w:rtl w:val="0"/>
              </w:rPr>
              <w:t xml:space="preserve">4. apakšpunkts) - gadījumā, ja dažas normas stājas spēkā citā laikā nekā pamatnoteikumi, tas jānorāda pirms vispārējā spēkā stāšanās, lai neveidojas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stāšanās (116.</w:t>
            </w:r>
            <w:r w:rsidR="00000000" w:rsidRPr="00000000" w:rsidDel="00000000">
              <w:rPr>
                <w:vertAlign w:val="superscript"/>
                <w:rtl w:val="0"/>
              </w:rPr>
              <w:t xml:space="preserve">1</w:t>
            </w:r>
            <w:r w:rsidR="00000000" w:rsidRPr="00000000" w:rsidDel="00000000">
              <w:rPr>
                <w:rtl w:val="0"/>
              </w:rPr>
              <w:t xml:space="preserve">5. apakšpunkts) - tikai pēc visu īpašo nosacījumu noteikšanas norādāms galvenais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derīguma termiņš (116.</w:t>
            </w:r>
            <w:r w:rsidR="00000000" w:rsidRPr="00000000" w:rsidDel="00000000">
              <w:rPr>
                <w:vertAlign w:val="superscript"/>
                <w:rtl w:val="0"/>
              </w:rPr>
              <w:t xml:space="preserve">1</w:t>
            </w:r>
            <w:r w:rsidR="00000000" w:rsidRPr="00000000" w:rsidDel="00000000">
              <w:rPr>
                <w:rtl w:val="0"/>
              </w:rPr>
              <w:t xml:space="preserve">6. apakšpunkts) - gadījumā, ja noteikumi ir spēkā uz noteiktu laiku, tas jānorāda pēc spēkā stāšanās, jo tas attiecas uz jau esošu normu - jo jānosaka, kad norma stājas spēkā, un tad tiek noteikts, kad tā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norāde uz atcelto normu (116.</w:t>
            </w:r>
            <w:r w:rsidR="00000000" w:rsidRPr="00000000" w:rsidDel="00000000">
              <w:rPr>
                <w:vertAlign w:val="superscript"/>
                <w:rtl w:val="0"/>
              </w:rPr>
              <w:t xml:space="preserve">1</w:t>
            </w:r>
            <w:r w:rsidR="00000000" w:rsidRPr="00000000" w:rsidDel="00000000">
              <w:rPr>
                <w:rtl w:val="0"/>
              </w:rPr>
              <w:t xml:space="preserve">7. apakšpunkts) - pēdējā norma nosaka, kuri noteikumi tiek atcelti, jo tas ir pēdējais solis tiesiskās sistēmas atjaunošanā - no sākuma ir jāievieš jaunais regulējums un tikai tad var skaidri noteikt, kas vairs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jaunā noslēgumu jautājumu secība nemazinās "prim" punktu skaitu, tomēr tā nodrošinās juridiski korektu normatīvā akta noslēguma jautājumu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izlabot noteikumu projektā un anotācijā pārrakstīšanās kļūdas (“appakšpunktā”, "iestēdei", "rekstību").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Norādītās kļūdas ir novērstas.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izlemts, ka ir nepieciešams papildināt MK noteikumus ar 116.</w:t>
            </w:r>
            <w:r w:rsidR="00000000" w:rsidRPr="00000000" w:rsidDel="00000000">
              <w:rPr>
                <w:vertAlign w:val="superscript"/>
                <w:rtl w:val="0"/>
              </w:rPr>
              <w:t xml:space="preserve">1</w:t>
            </w:r>
            <w:r w:rsidR="00000000" w:rsidRPr="00000000" w:rsidDel="00000000">
              <w:rPr>
                <w:rtl w:val="0"/>
              </w:rPr>
              <w:t xml:space="preserve"> punktu, lūdzam papildināt anotāciju ar apsvērumiem, kādēļ šis ir labākais veids, kā sasniegt mērķi, kā arī ietvert pamatojumu, kādēļ vienlaicīgi netiek līdzīgas prasības izvirzītas likumprojekta pārejas noteikumu noformēšanai. Tāpat arī lūdzam papildināt anotāciju ar piemēriem, kas raksturotu 116.</w:t>
            </w:r>
            <w:r w:rsidR="00000000" w:rsidRPr="00000000" w:rsidDel="00000000">
              <w:rPr>
                <w:vertAlign w:val="superscript"/>
                <w:rtl w:val="0"/>
              </w:rPr>
              <w:t xml:space="preserve">1</w:t>
            </w:r>
            <w:r w:rsidR="00000000" w:rsidRPr="00000000" w:rsidDel="00000000">
              <w:rPr>
                <w:rtl w:val="0"/>
              </w:rPr>
              <w:t xml:space="preserve">2. un 116.</w:t>
            </w:r>
            <w:r w:rsidR="00000000" w:rsidRPr="00000000" w:rsidDel="00000000">
              <w:rPr>
                <w:vertAlign w:val="superscript"/>
                <w:rtl w:val="0"/>
              </w:rPr>
              <w:t xml:space="preserve">1</w:t>
            </w:r>
            <w:r w:rsidR="00000000" w:rsidRPr="00000000" w:rsidDel="00000000">
              <w:rPr>
                <w:rtl w:val="0"/>
              </w:rPr>
              <w:t xml:space="preserve">3. (īpaši akcentējot atšķirības, kādēļ šeit nosakāmā piemērošanas kārtība nav uzskatāma par tādu, kas darbojas patstāvīgi) apakšpunktā ietvertos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attiecīgo informāciju, vai minētais nosacījums ir attiecināms arī uz grozījumu projektiem, kā arī kādus nosacījumus būs jāievēro attiecīgajā brīdī, ja tiks grozīti (papildināti)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ir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iekavās svītrot vārdu "noteikumu", jo noteikumu 7.nodaļā ir runa par iekšējo normatīvo aktu projektiem piemērojamām prasībām, kā arī ar atvasinātām publiskām personām saprot arī pašvaldības, kas izstrādā saistošos noteikumus. Līdz ar to regulējums nav attiecināms tikai uz noteikumiem un aptver plašāku tvērumu. Tāpat atsauce būtu jāveido arī uz  noteikumu 6.nodaļu.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5. punktā svītrot vārdu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atsevišķos punktos nodalīt prasības, kas attiecināmas uz atvasinātām publiskām personām (5. punkts), no prasībām, kas attiecināmas uz pašvaldībām kā atvasinātām publiskām personām (5.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nepārprotamu normatīvā akta regulējuma izpratni tā piemērotājiem, ja vienīgais normatīvā akta veids, kādu atvasināta publiska persona izdod, ir noteikumi, tas arī tieši būtu rakstāms normā, neizmantojot plašāku normatīvo aktu apzīmējumu un iekavās norādot tā sašaurinājumu. Vienlaikus šāds sašaurinājums varētu būt nepamatots, ja ņem vērā, ka tiesību norma paredz, ka personām ir jāievēro arī noteikumu 7. nodaļas prasības, savukārt iekšējo normatīvo aktu veidi ir vairāk kā tikai iekšējie noteikumi. Bez tam, ņemot vērā, ka atvasināta publiska persona ir arī pašvaldība, kuras dome izdod pašvaldības saistošos noteikumus, aicinām tiesību normā atstāt plašāku normatīvo aktu apzīmējumu par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iespējams, ir arī jāpārdomā esošais normas formulējums, visticamāk atrunājot, ka norma nav jāpiemēro pašvaldībām, jo patlaban tas pašvaldībām, kas atbilstoši Valsts pārvaldes iekārtas likuma 1. panta 2. punktā noteiktajam ir viens no atvasinātas publiskas personas veidiem, nosaka pienākumu neievērot Ministru kabineta 2009. gada 3. februāra noteikumu Nr. 108 “Normatīvo aktu projektu sagatavošanas noteikumi”  (turpmāk – MK  noteikumi) 3.5. apakšnodaļā (Noteikumu projektā ietvertais pilnvarojums pašvaldību domei) minētās prasības, savukārt nav paredzēts pienākums pašvaldībai ievērot MK noteikumu 6. nodaļā (Pašvaldību saistošo noteikumu projektiem piemērojamās prasības) ietvertās prasības. Vienlaikus, ja šajā tiesību normā ir paredzēts ietvert regulējumu, kas ir piemērojams gan pašvaldībai, gan arī citai ar likumu vai uz likuma pamata izveidotai publiskai personai, tad formulējumu būtu iespējams veidot, paredzot, ka atvasināta publiska persona ievēro šajos noteikumos noteiktās prasības, izņemot šo noteikumu 2. nodaļā un 3.6. apakšnodaļā noteiktās prasības. Šādā veidā tiktu aptverts arī nepārprotams pienākums ievērot noteikumu 1. nodaļā ietvertās vispārīgās prasības (iespējams, jau patlaban spēkā esošajā MK noteikumu 5. punkta redakcijā ir vērts ietverto uzskaitījumu papildināt arī ar 1.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lai nodrošinātu nepārprotamu normatīvajā aktā ietvertā regulējuma izpratni tā piemērotājiem, lūdzam papildināt tiesību normu vai vismaz anotāciju ar norādi, kas netieši atgādinātu, ka atvasinātas publiskās personas šajos MK noteikumos ietvertās prasības ārējo normatīvo aktu izstrādē piemēro, ja tām likumā ir noteiktas tiesības tādus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redakcija ir veidota, pieņemot, ka normas mērķis ir noteikt vienotas prasības atvasinātām publiskām personām, izņemot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atvasinātas publiskas personas, izņemot pašvaldības, ievēro šo noteikumu 1., 3., 4., 5. un 7. nodaļā minētās prasības, izņemot šo noteikumu 3.5. un 3.6. apakšnodaļā minētās prasības. Vārdus “Ministru kabinets” attiecīgā locījumā aizstāj ar iestādes nosaukumu attiecīgā locījumā. Ārējus normatīvos aktus persona sagatavo, ja likums tai paredz tādu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atsevišķos punktos nodalīt prasības, kas attiecināmas uz atvasinātām publiskām personām (5. punkts), no prasībām, kas attiecināmas uz pašvaldībām kā atvasinātām publiskām personām (5.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nodaļā "Vispārīgie jautājumi" tiek noteiktas noteikumu prasības, kas attiecināmas uz atvasinātām publiskām personām (5. punkts) un pašvaldībām (5.</w:t>
            </w:r>
            <w:r w:rsidR="00000000" w:rsidRPr="00000000" w:rsidDel="00000000">
              <w:rPr>
                <w:vertAlign w:val="superscript"/>
                <w:rtl w:val="0"/>
              </w:rPr>
              <w:t xml:space="preserve">1</w:t>
            </w:r>
            <w:r w:rsidR="00000000" w:rsidRPr="00000000" w:rsidDel="00000000">
              <w:rPr>
                <w:rtl w:val="0"/>
              </w:rPr>
              <w:t xml:space="preserve"> punkts). Vienlaikus, lai novērstu ispējmos pārpratumus, un ievērojot, ka tiesību normas lasāmas sistēmiski gan nodaļas, gan noteikumu ietvaros, noteikumu paredz papildināt 49.punktu ar frāzi "(izņemot pilnvarojumu pašvaldības domei".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likumprojekta izpildes nodrošināšanai izdot ārēju normatīvo aktu – noteikumus. Pilnvarojumā detalizēti nosaka atvasinātas publiskas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19. priekšlikumam (49. 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(izņemot pilnvarojumu pašvaldības domei) likumprojekta izpildes nodrošināšanai izdot ārēju normatīvo aktu – noteikumus. Pilnvarojumā detalizēti nosaka atvasinātas publiskas personas noteikumu satura galvenos virzienus.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kas pievienots 19.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likumā ietvertu regulējumu. Likumprojektā neietver pilnvarojumu atvasinātai publiskai personai izdot noteikumus jautājumā, kas nav ietverts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Lūgums izvērtēt, vai mērķi nav iespējams sasniegt, negrozot MK noteikumus, jo sevišķi, ja vienlaikus netiek veiktas līdzīgas izmaiņas MK noteikumos ietvertajā regulējumā, kas nosaka to, kādā veidā noformē likumprojekta pārejas noteikumus. Proti, valsts iestāžu juridisko dienestu vadītāju sanāksmēs līdz šim ir izdevies panākt vienošanos par dažādu jautājumu risinājumu un ieviest vienveidīgu tiesību normu piemērošanu, kā arī veidu, kādā dokumenti tiek noformēti pirms to iesniegšanas Valsts kancelejā. Vienlaikus Valsts kancelejai ir arī iespējas lūgt sagatavoto tiesību aktu precizēt, ja netiek ievērotas panāktās vienošanās. Uzskatām, ka šādā veidā ir iespējams ātrāk veikt izmaiņas, ja tādas ir nepieciešamas, kā arī tas ļautu laika gaitā pārliecināties par optimālāko šo normu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izlemts, ka ir nepieciešams papildināt MK noteikumus ar 116.</w:t>
            </w:r>
            <w:r w:rsidR="00000000" w:rsidRPr="00000000" w:rsidDel="00000000">
              <w:rPr>
                <w:vertAlign w:val="superscript"/>
                <w:rtl w:val="0"/>
              </w:rPr>
              <w:t xml:space="preserve">1</w:t>
            </w:r>
            <w:r w:rsidR="00000000" w:rsidRPr="00000000" w:rsidDel="00000000">
              <w:rPr>
                <w:rtl w:val="0"/>
              </w:rPr>
              <w:t xml:space="preserve"> punktu, lūdzam izvērtēt iespēju secību strukturēt, sākot ar jautājumiem, kas aptver visus noteikumus un beigās ietvert tos jautājumus, kuri ar nākotnes grozījumiem var loģiski tikt turpināti, ja ir nepieciešams atsevišķām normām paredzēt pārejas kārtību. Proti, tā varētu veidoties normu secība, kurā sākumā būtu tās normas, kuras laika gaitā nav pamats mainīt un to neietekmētu grozījumi Ministru kabineta noteikumos, kā arī varētu sakrist ar to, kur persona, kura piemēro vai iepazīstas ar Ministru kabineta noteikumiem, intuitīvi varētu atrast aktuālāko regulējumu. Šādā veidā arī varētu izvairīties no noslēgumu jautājumu veidošanas ar prim punktiem.  Atbilstoši minētajam piedāvājam priekšlikumu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kurus noteikumus atzīt par spēku zaudējušiem, ievērojot šo noteikumu 159.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2. noteikumu spēkā stāšanās laiku, ja tā atšķiras no vispārējās kārtības, ievērojot šo noteikumu 156. punkta nosacījumus, un laiku, līdz kuram noteikumi ir spēkā, ja tie ir pieņemti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3. nosacījumus, kas ir nepieciešami tiesiskā regulējuma nepārtrauktības nodrošināšanai un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norādi uz iestādi (institūciju), kas nodrošinās noteikumos noteikto funkciju izpildi līdz to nodošanai citai iestādei (institūcijai) vai noteikumu izpildei paredzētās jaunas iestādes (institūcijas)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6 atsevišķu punktu spēkā stāšanās laiku, ja tas atšķiras no visu noteikumu spēkā stāšanās laika, ievērojot šo noteikumu 157. punkta nosacījumus, un laiku, līdz kuram atsevišķas noteikumu normas ir spēkā, ja tās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atsevišķu punktu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iestāžu juridisko dienestu vadītāju sanāksmē 2023. gada 16. februārī un 20. aprīlī tika diskutēts jautājums par Ministru kabineta noteikumu noslēguma jautājumu un spēkā stāšanās punktu secību atbilstoši biežāk lietotai praksei. Rezultātā 2023. gada 20. aprīļa protokolā nr.2 2. § "Par juridiskās tehnikas un prakses jautājumiem" ir noteikts, ka Valsts kanceleja sadarbībā ar Tieslietu ministriju sagatavos grozījumus Ministru kabineta 2009. gada 3. februāra noteikumos Nr. 108 "Normatīvo aktu projektu sagatavošanas noteikumi", lai nostiprinātu vienu praksi noslēguma jautājumu secībai tiesību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atsevišķu punktu spēkā stāšanās laiku, ja tas atšķiras no visu noteikumu spēkā stāšanās laika, ievērojot </w:t>
            </w:r>
            <w:r w:rsidR="00000000" w:rsidRPr="00000000" w:rsidDel="00000000">
              <w:rPr>
                <w:rtl w:val="0"/>
              </w:rPr>
              <w:t xml:space="preserve">157.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116.</w:t>
            </w:r>
            <w:r w:rsidR="00000000" w:rsidRPr="00000000" w:rsidDel="00000000">
              <w:rPr>
                <w:vertAlign w:val="superscript"/>
                <w:rtl w:val="0"/>
              </w:rPr>
              <w:t xml:space="preserve">1</w:t>
            </w:r>
            <w:r w:rsidR="00000000" w:rsidRPr="00000000" w:rsidDel="00000000">
              <w:rPr>
                <w:rtl w:val="0"/>
              </w:rPr>
              <w:t xml:space="preserve">4.apakšpunktu aiz vārda "ievērojot" ar vārdiem "šo noteikumu", atbilstoši Ministru kabineta 2009.gada 3.februāra noteikumu Nr.108 "Normatīvo aktu projektu sagatavošanas noteikumi" 132.1.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atsevišķu punktu spēkā stāšanās laiku, ja tas atšķiras no visu noteikumu spēkā stāšanās laika, ievērojot šo noteikumu 157.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atsevišķu punktu spēkā stāšanās laiku, ja tas atšķiras no visu noteikumu spēkā stāšanās laika, ievērojot šo noteikumu </w:t>
            </w:r>
            <w:r w:rsidR="00000000" w:rsidRPr="00000000" w:rsidDel="00000000">
              <w:rPr>
                <w:rtl w:val="0"/>
              </w:rPr>
              <w:t xml:space="preserve">157. </w:t>
            </w:r>
            <w:r w:rsidR="00000000" w:rsidRPr="00000000" w:rsidDel="00000000">
              <w:rPr>
                <w:rtl w:val="0"/>
              </w:rPr>
              <w:t xml:space="preserve">punkta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tā atšķiras no vispārējās kārtības, ievērojot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116.</w:t>
            </w:r>
            <w:r w:rsidR="00000000" w:rsidRPr="00000000" w:rsidDel="00000000">
              <w:rPr>
                <w:vertAlign w:val="superscript"/>
                <w:rtl w:val="0"/>
              </w:rPr>
              <w:t xml:space="preserve">1</w:t>
            </w:r>
            <w:r w:rsidR="00000000" w:rsidRPr="00000000" w:rsidDel="00000000">
              <w:rPr>
                <w:rtl w:val="0"/>
              </w:rPr>
              <w:t xml:space="preserve">5.apakšpunktu aiz vārda "ievērojot" ar vārdiem "šo noteikumu", atbilstoši Ministru kabineta 2009.gada 3.februāra noteikumu Nr.108 "Normatīvo aktu projektu sagatavošanas noteikumi" 132.1.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tā atšķiras no vispārējās kārtības, ievērojot šo noteikumu 156.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tas atšķiras no vispārējās kārtības, ievērojot šo noteikumu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norādi, kuri Ministru kabineta noteikumi tiek atzīti par spēku zaudējušiem, ievērojot </w:t>
            </w:r>
            <w:r w:rsidR="00000000" w:rsidRPr="00000000" w:rsidDel="00000000">
              <w:rPr>
                <w:rtl w:val="0"/>
              </w:rPr>
              <w:t xml:space="preserve">159.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116.</w:t>
            </w:r>
            <w:r w:rsidR="00000000" w:rsidRPr="00000000" w:rsidDel="00000000">
              <w:rPr>
                <w:vertAlign w:val="superscript"/>
                <w:rtl w:val="0"/>
              </w:rPr>
              <w:t xml:space="preserve">1</w:t>
            </w:r>
            <w:r w:rsidR="00000000" w:rsidRPr="00000000" w:rsidDel="00000000">
              <w:rPr>
                <w:rtl w:val="0"/>
              </w:rPr>
              <w:t xml:space="preserve">7.apakšpunktu aiz vārda "ievērojot" ar vārdiem "šo noteikumu", atbilstoši Ministru kabineta 2009.gada 3.februāra noteikumu Nr.108 "Normatīvo aktu projektu sagatavošanas noteikumi" 132.1.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norādi, kuri Ministru kabineta noteikumi tiek atzīti par spēku zaudējušiem, ievērojot šo noteikumu 159.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norādi, kuri Ministru kabineta noteikumi tiek atzīti par spēku zaudējušiem, ievērojot šo noteikumu </w:t>
            </w:r>
            <w:r w:rsidR="00000000" w:rsidRPr="00000000" w:rsidDel="00000000">
              <w:rPr>
                <w:rtl w:val="0"/>
              </w:rPr>
              <w:t xml:space="preserve">159. </w:t>
            </w:r>
            <w:r w:rsidR="00000000" w:rsidRPr="00000000" w:rsidDel="00000000">
              <w:rPr>
                <w:rtl w:val="0"/>
              </w:rPr>
              <w:t xml:space="preserve">punkta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Normas par noteikumu spēkā 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būtu nepieciešams Ministru kabineta 2009.gada 3.februāra noteikumu Nr.108 "Normatīvo aktu projektu sagatavošanas noteikumi" 3.9.apakšnodaļā atrunāt normas par noteikumu vai atsevišķu to normu, kuras ir pieņemtas uz noteiktu laiku, veidošanas (rakstīšanas)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ierosina SM priekšlikumu sākotnēji izdiskutēt Valsts iestāžu juridisko dienestu vadītāju sanāksmē, lai vienotos par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Normas par noteikumu spēkā 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Norādē secīgi 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116.punkts jau nosaka, kā katrā konkrētajā gadījumā ir jāraksta noslēguma jautājumi, ierosinām izvērtēt iespēju 156.punkta pirmo teikumu izteikt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noteikumu projektā, ievērojot šo noteikumu 116. punkta nosacījumus, raksta norādi uz noteikumu spēkā stāšanās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ievērojot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Norādē secīgi raksta: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Norādē secīgi 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punkta redakcija precizēta atbilstoši tam, ja tiek pieņemts lēmums MK noteikumu projektā iekļaut 116.</w:t>
            </w:r>
            <w:r w:rsidR="00000000" w:rsidRPr="00000000" w:rsidDel="00000000">
              <w:rPr>
                <w:vertAlign w:val="superscript"/>
                <w:rtl w:val="0"/>
              </w:rPr>
              <w:t xml:space="preserve">1</w:t>
            </w:r>
            <w:r w:rsidR="00000000" w:rsidRPr="00000000" w:rsidDel="00000000">
              <w:rPr>
                <w:rtl w:val="0"/>
              </w:rPr>
              <w:t xml:space="preserve"> punktu un atbalstīts Labklājības ministrijas priekšlikums par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pēc norādes, kuri noteikumi tiek atzīti par spēku zaudējušiem, bet, ja notei­kumu projekts iedalīts nodaļās, nodaļā ar nosaukumu “Noslēguma jautājumi” (“Noslēguma jautājums”), ievērojot 116.</w:t>
            </w:r>
            <w:r w:rsidR="00000000" w:rsidRPr="00000000" w:rsidDel="00000000">
              <w:rPr>
                <w:vertAlign w:val="superscript"/>
                <w:rtl w:val="0"/>
              </w:rPr>
              <w:t xml:space="preserve">1 </w:t>
            </w:r>
            <w:r w:rsidR="00000000" w:rsidRPr="00000000" w:rsidDel="00000000">
              <w:rPr>
                <w:rtl w:val="0"/>
              </w:rPr>
              <w:t xml:space="preserve">punktā noteikto secību. Norādē secīgi 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ievērojot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Norādē secīgi raksta: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šo noteikumu </w:t>
            </w:r>
            <w:r w:rsidR="00000000" w:rsidRPr="00000000" w:rsidDel="00000000">
              <w:rPr>
                <w:rtl w:val="0"/>
              </w:rPr>
              <w:t xml:space="preserve">159.</w:t>
            </w:r>
            <w:r w:rsidR="00000000" w:rsidRPr="00000000" w:rsidDel="00000000">
              <w:rPr>
                <w:rtl w:val="0"/>
              </w:rPr>
              <w:t xml:space="preserve">punktā minēto teikumu raksta noteikumu projekta pēdējos punktos, bet, ja noteikumu projekts iedalīts nodaļās, nodaļā “Noslēguma jautājumi”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158. punkts atrunā divas iespējas spēkā esošu noteikumu atzīšanai par spēku zaudējušiem, proti, ar atsevišķiem noteikumiem (kārtība noteikta Noteikumu 159.punktā) vai ar citu noteikumu noslēguma jautājumu (kārtība noteikta Noteikumu 160.punktā) un ņemot vērā, ka ar šo noteikumu projektu Noteikumu 158.punkta redakcija netiek grozīta, lūdzam anotācijā detalizētāk izskaidrot Noteikumu 160.punkta svītrošanas iemeslus. Vienlaikus lūdzam izvērtēt, vai, svītrojot 160.punktu, nepieciešams precizēt Noteikumu 159.punkta redakciju, attiecinot to uz abām Noteikumu 158.punktā minētajām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160. punkts tiek izteikts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tad šo noteikumu </w:t>
            </w:r>
            <w:r w:rsidR="00000000" w:rsidRPr="00000000" w:rsidDel="00000000">
              <w:rPr>
                <w:rtl w:val="0"/>
              </w:rPr>
              <w:t xml:space="preserve">159.</w:t>
            </w:r>
            <w:r w:rsidR="00000000" w:rsidRPr="00000000" w:rsidDel="00000000">
              <w:rPr>
                <w:rtl w:val="0"/>
              </w:rPr>
              <w:t xml:space="preserve">punktā minēto teikumu raksta atbilstoši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šo noteikumu </w:t>
            </w:r>
            <w:r w:rsidR="00000000" w:rsidRPr="00000000" w:rsidDel="00000000">
              <w:rPr>
                <w:rtl w:val="0"/>
              </w:rPr>
              <w:t xml:space="preserve">159.</w:t>
            </w:r>
            <w:r w:rsidR="00000000" w:rsidRPr="00000000" w:rsidDel="00000000">
              <w:rPr>
                <w:rtl w:val="0"/>
              </w:rPr>
              <w:t xml:space="preserve">punktā minēto teikumu raksta noteikumu projekta pēdējos punktos, bet, ja noteikumu projekts iedalīts nodaļās, nodaļā “Noslēguma jautājumi”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par MK noteikumu papildināšanu ar 116.</w:t>
            </w:r>
            <w:r w:rsidR="00000000" w:rsidRPr="00000000" w:rsidDel="00000000">
              <w:rPr>
                <w:vertAlign w:val="superscript"/>
                <w:rtl w:val="0"/>
              </w:rPr>
              <w:t xml:space="preserve">1</w:t>
            </w:r>
            <w:r w:rsidR="00000000" w:rsidRPr="00000000" w:rsidDel="00000000">
              <w:rPr>
                <w:rtl w:val="0"/>
              </w:rPr>
              <w:t xml:space="preserve"> punktu, ir apsverams, vai šo normu ir pamats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tad šo noteikumu </w:t>
            </w:r>
            <w:r w:rsidR="00000000" w:rsidRPr="00000000" w:rsidDel="00000000">
              <w:rPr>
                <w:rtl w:val="0"/>
              </w:rPr>
              <w:t xml:space="preserve">159.</w:t>
            </w:r>
            <w:r w:rsidR="00000000" w:rsidRPr="00000000" w:rsidDel="00000000">
              <w:rPr>
                <w:rtl w:val="0"/>
              </w:rPr>
              <w:t xml:space="preserve">punktā minēto teikumu raksta atbilstoši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23-TA-767</w:t>
    </w:r>
    <w:r>
      <w:br/>
    </w:r>
    <w:r w:rsidR="00000000" w:rsidRPr="00000000" w:rsidDel="00000000">
      <w:rPr>
        <w:rtl w:val="0"/>
      </w:rPr>
      <w:t xml:space="preserve">27.03.2026. 19.59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23-TA-767</w:t>
    </w:r>
    <w:r>
      <w:br/>
    </w:r>
    <w:r w:rsidR="00000000" w:rsidRPr="00000000" w:rsidDel="00000000">
      <w:rPr>
        <w:rtl w:val="0"/>
      </w:rPr>
      <w:t xml:space="preserve">27.03.2026. 19.59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Izziņa_23-TA-767.docx</dc:title>
</cp:coreProperties>
</file>

<file path=docProps/custom.xml><?xml version="1.0" encoding="utf-8"?>
<Properties xmlns="http://schemas.openxmlformats.org/officeDocument/2006/custom-properties" xmlns:vt="http://schemas.openxmlformats.org/officeDocument/2006/docPropsVTypes"/>
</file>