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6. maija noteikumos Nr. 237 "Valsts vērtspapīru izlaišanas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14:43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57.</w:t>
            </w:r>
            <w:r w:rsidR="00000000" w:rsidRPr="00000000" w:rsidDel="00000000">
              <w:rPr>
                <w:vertAlign w:val="superscript"/>
                <w:rtl w:val="0"/>
              </w:rPr>
              <w:t xml:space="preserve">1</w:t>
            </w:r>
            <w:r w:rsidR="00000000" w:rsidRPr="00000000" w:rsidDel="00000000">
              <w:rPr>
                <w:rtl w:val="0"/>
              </w:rPr>
              <w:t xml:space="preserve"> punkta skiadrojumu, ka Pilsonības un migrācijas lietu pārvalde neskatīs pēc būtības pieteikumu par mantojuma masā ietilpstošo bezprocentu obligāciju vērtības izmaksu, kura pienākas mantiniekam, bet tikai pārsūtīs Valsts kasei jautājuma izskatīšanai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ar teikumu "kā arī attiecībā uz 57.</w:t>
            </w:r>
            <w:r w:rsidR="00000000" w:rsidRPr="00000000" w:rsidDel="00000000">
              <w:rPr>
                <w:vertAlign w:val="superscript"/>
                <w:rtl w:val="0"/>
              </w:rPr>
              <w:t xml:space="preserve">1 </w:t>
            </w:r>
            <w:r w:rsidR="00000000" w:rsidRPr="00000000" w:rsidDel="00000000">
              <w:rPr>
                <w:rtl w:val="0"/>
              </w:rPr>
              <w:t xml:space="preserve">punktā minēto, PMLP nodrošina dokumentu saņemšanu, bet jautājuma izskatīšanu un izrietošās darbības veic Valsts kase. Vienlaicīgi PMLP pēc Valsts kases pieprasījuma nodrošina Valsts kasei visu tās rīcībā esošo informāciju, kas saistīta ar termiņuzturēšanās atļauju, kuras saņemšanai emitētas mantojuma masā ietilpstošās bezprocentu obligācijas."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Naudas līdzekļi par mantojuma masā ietilpstošām bezprocentu obligācijām mantiniekam izmaksājami pēc to dzēšanas termiņa beigām un pēc tam, kad mantinieks ir iesniedzis Pilsonības un migrācijas lietu pārvaldē pieteikumu par mantojuma masā ietilpstošo bezprocentu obligāciju vērtības izmaksu, kura pienākas mantiniekam, un uzrādījis dokumentus, kas apliecina tiesības saņemt mantojumu. Minētais pieteikums ir galīgs un neatsaucams. Līdzmantinieku gadījumā, ja mantinieki ir vienojušies par mantojuma sadali, uzrāda arī līgumu vai bāriņtiesas vai tiesas apstiprinātu mantojuma dalīšanas aktu (Civillikumā noteiktajos gadījumos, ciktāl starptautiskajos normatīvajos aktos, kuri ir saistoši Latvijas Republikai,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57.</w:t>
            </w:r>
            <w:r w:rsidR="00000000" w:rsidRPr="00000000" w:rsidDel="00000000">
              <w:rPr>
                <w:vertAlign w:val="superscript"/>
                <w:rtl w:val="0"/>
              </w:rPr>
              <w:t xml:space="preserve">1</w:t>
            </w:r>
            <w:r w:rsidR="00000000" w:rsidRPr="00000000" w:rsidDel="00000000">
              <w:rPr>
                <w:rtl w:val="0"/>
              </w:rPr>
              <w:t xml:space="preserve"> punktu aiz 1.teikuma ar teikumu šādā redakcijā: "Pilsonības un migrācijas lietu pārvalde minēto pieteikumu nekavējoties pārsūta Valsts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nepieciešams, lai viestu skaidrību, ka Pilsonības un migrācijas lietu pārvalde neskatīs pēc būtības pieteikumu par mantojuma masā ietilpstošo bezprocentu obligāciju vērtības izmaksu, kura pienākas mantiniekam, bet tikai pārsūtīs Valsts kasei jautājuma izskatīšanai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Naudas līdzekļi par mantojuma masā ietilpstošām bezprocentu obligācijām mantiniekam izmaksājami pēc to dzēšanas termiņa beigām un pēc tam, kad mantinieks ir iesniedzis Pilsonības un migrācijas lietu pārvaldē pieteikumu par mantojuma masā ietilpstošo bezprocentu obligāciju vērtības izmaksu, kura pienākas mantiniekam, un uzrādījis dokumentus, kas apliecina tiesības saņemt mantojumu. Pilsonības un migrācijas lietu pārvalde minēto pieteikumu nekavējoties pārsūta Valsts kasei. Minētais pieteikums ir galīgs un neatsaucams. Līdzmantinieku gadījumā, ja mantinieki ir vienojušies par mantojuma sadali, uzrāda arī līgumu vai bāriņtiesas vai tiesas apstiprinātu mantojuma dalīšanas aktu (Civillikumā noteiktajos gadījumos, ciktāl starptautiskajos normatīvajos aktos, kuri ir saistoši Latvijas Republikai,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Naudas līdzekļi par mantojuma masā ietilpstošām bezprocentu obligācijām mantiniekam izmaksājami pēc to dzēšanas termiņa beigām un pēc tam, kad mantinieks ir iesniedzis Pilsonības un migrācijas lietu pārvaldē pieteikumu par mantojuma masā ietilpstošo bezprocentu obligāciju vērtības izmaksu, kura pienākas mantiniekam, un dokumentus, kas apliecina tiesības saņemt mantojumu. Pilsonības un migrācijas lietu pārvalde minēto pieteikumu kopā ar saņemtajiem dokumentiem, kas apliecina tiesības saņemt mantojumu, nekavējoties pārsūta Valsts kasei. Minētais pieteikums ir galīgs un neatsaucams. Līdzmantinieku gadījumā, ja mantinieki ir vienojušies par mantojuma sadali, uzrāda arī līgumu vai bāriņtiesas vai tiesas apstiprinātu mantojuma dalīšanas aktu (Civillikumā noteiktajos gadījumos, ciktāl starptautiskajos normatīvajos aktos, kuri ir saistoši Latvijas Republikai, nav noteikts citādi). Pilsonības un migrācijas lietu pārvalde pēc Valsts kases pieprasījuma nodrošina Valsts kasei visu tās rīcībā esošo informāciju, kas saistīta ar termiņuzturēšanās atļauju, kuras saņemšanai emitētas mantojuma masā ietilpstošās bezprocentu obligācijas.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25-TA-2250</w:t>
    </w:r>
    <w:r>
      <w:br/>
    </w:r>
    <w:r w:rsidR="00000000" w:rsidRPr="00000000" w:rsidDel="00000000">
      <w:rPr>
        <w:rtl w:val="0"/>
      </w:rPr>
      <w:t xml:space="preserve">05.12.2025. 13.03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25-TA-2250</w:t>
    </w:r>
    <w:r>
      <w:br/>
    </w:r>
    <w:r w:rsidR="00000000" w:rsidRPr="00000000" w:rsidDel="00000000">
      <w:rPr>
        <w:rtl w:val="0"/>
      </w:rPr>
      <w:t xml:space="preserve">05.12.2025. 13.03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Izziņa_25-TA-2250.docx</dc:title>
</cp:coreProperties>
</file>

<file path=docProps/custom.xml><?xml version="1.0" encoding="utf-8"?>
<Properties xmlns="http://schemas.openxmlformats.org/officeDocument/2006/custom-properties" xmlns:vt="http://schemas.openxmlformats.org/officeDocument/2006/docPropsVTypes"/>
</file>