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janvāra noteikumos Nr. 4 "Norvēģijas finanšu instrumenta 2014.–2021. gada perioda programmas "Uzņēmējdarbības attīstība, inovācijas un mazie un vidējie uzņēmumi"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 apakšpunktu lūdzam skaidrot noteikumu projekta 3.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precizetā noteikumu projekta 6. punkts nosaka tā spēkā stāšanās laiku – līdz ar grozījumu starp Norvēģijas Ārlietu ministrijas un Latvijas Republikas Finanšu ministrijas 2020. gada 14. jūlijā noslēgtā Norvēģijas finanšu instrumenta 2014 - 2021 programmas līguma "Uzņēmējdarbības attīstība, inovācijas un mazie un vidējie uzņēmumi" (turpmāk – Programmas līgums) stāšanos spēkā. Eiropas Ekonomikas zonas finanšu instrumenta un Norvēģijas finanšu instrumenta 2014. – 2021. gada perioda vadības likuma 8. panta otrās daļas 2. punkts nosaka, ka programmas apsaimniekotājam ir pienākums nodrošināt programmas īstenošanu atbilstoši Programmas līgumam. Šobrīd spēkā esošā Programmas līguma 2.2. pantā noteikts, ka netiešās izmaksas tiek piemērotas atbilstoši Donorvalsts noteikumu 8.5. panta 1. punkta c) apakšpunktam. Minētais nozīmē, ka pēc noteikumu projekta pieņemšanas Ministru kabinetā, kas nozīmē noteikumu projekta akceptu nacionālajā līmenī, bet pirms noteikumu spēkā stāšanās ir nepieciešams veikt atbilstošus Programmas līguma grozījumus, līdz ar to ir nepieciešams noteikt šādu noteikumu spēkā stāšanās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veiktas izmaiņas Ministru kabineta 2021. gada 7. janvāra noteikumu Nr. 4 "Norvēģijas finanšu instrumenta 2014.–2021. gada perioda programmas "Uzņēmējdarbības attīstība, inovācijas un mazie un vidējie uzņēmumi" īstenošanas noteikumi" (turpmāk - noteikumi Nr. 4) regulējumā, ar kuru tikušas ieviestas Saprašanās memoranda par Eiropas Ekonomikas zonas finanšu instrumenta ieviešanu 2014.–2021. gadā, kas noslēgts starp Latvijas Republiku un Islandi, Lihtenšteinas Firstisti, Norvēģijas Karalisti un apstiprināts ar Ministru kabineta 2017. gada 5. decembra noteikumiem Nr. 712 "Par Latvijas Republikas un Islandes, Lihtenšteinas Firstistes un Norvēģijas Karalistes saprašanās memorandu par Eiropas Ekonomikas zonas instrumenta ieviešanu 2014.–2021. gadā" (sk. B pielikuma 3. daļas A. punktu), lūdzam aizpildīt noteikumu projekta anotācijas 5. sadaļu, jo īpaši tās 2. tabulu, sniedzot atbilstošu skaidrojumu par attiecīgo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Saprašanās memorandu par Eiropas Ekonomikas zonas finanšu instrumenta ieviešanu 2014. – 2021. gadā, kas noslēgts starp Latvijas Republiku un Islandi, Lihtenšteinas Firstisti, Norvēģijas Karalisti, 2020. gada 14. jūlijā tika noslēgts  Programmas līgums. Programmas līguma 2.2. pantā noteikts, ka netiešās izmaksas tiek piemērotas atbilstoši Donorvalsts noteikumu 8.5. panta 1. punkta c) apakšpunktam. Pēc šo noteikumu projekta apstiprināšanas Ministru kabinetā vadošā iestāde virzīs programmas apsaimniekotāja ierosinātos grozījumus Programmas līgumā, grozot Programmas līguma 2.2. pantu, kur tiks noteikts, ka “netiešās izmaksas tiek piemērotas atbilstoši Donorvalsts noteikumu 8.5. panta 1. punkta b) apakšpunktam”. Noteikumu projekta 4., 5. punkts arī atspoguļo šīs plānotās izmaiņas Programmas līgumā, un 6. punkts nosaka, ka noteikumu projekts stājas spēkā pēc programmas līguma grozījumiem. Attiecīgi papildināta noteikumu projekta anotācijas 5. sadaļa ar 2.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Donorvalstu noteikumu 8.5.panta 2.punktam, ir jābūt skaidrai un pierādāmai metodikai/aprēķinam, kas pamato likmi līdz 25%, un šai metodikai/aprēķinam jābūt pievienotam iepriekš noteiktā projekta līgumam. Attiecīgi lūdzam papildināt MK noteikuma projekta anotācijas 1.3.sadaļas “Pašreizējā situācija, problēmas un risinājumi” risinājuma aprakstu ar informāciju, ka Ekonomikas ministrijas un Latvijas Investīciju un attīstības aģentūra (turpmāk - LIAA) ir guvušas pārliecību un LIAA nodrošinās, ka, piemērojot Donorvalstu noteikumu 8.5.panta 1.punkta b) apakšpunktā noteikto metodi, pilnībā tiek izpildīti Donorvalstu noteikumu 8.5.panta 2.punkta nosacījumi, t.i., ka likme aprēķināta izmantojot taisnīgu, objektīvu un pārbaudāmu aprēķina metodi vai metodi, ko izmanto tādu piešķīrumu shēmās, kuru līdzīga veida projektam vai līdzīga projekta iesniedzēja gadījumā pilnībā finansē saņēmējvalsts.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w:t>
            </w:r>
            <w:r w:rsidR="00000000" w:rsidRPr="00000000" w:rsidDel="00000000">
              <w:rPr>
                <w:b w:val="1"/>
                <w:rtl w:val="0"/>
              </w:rPr>
              <w:t xml:space="preserve"> lūdzam papildināt arī MK sēdes protokollēmumu </w:t>
            </w:r>
            <w:r w:rsidR="00000000" w:rsidRPr="00000000" w:rsidDel="00000000">
              <w:rPr>
                <w:rtl w:val="0"/>
              </w:rPr>
              <w:t xml:space="preserve">ar nosacījumu, ka MK noteikumu projekta 73.1 punkta un 74.2. apakšpunkta jaunā redakcija un MK noteikumu projekta 84.punkts stājas spēkā tikai tad, kad LIAA ir saskaņojusi augstāk minēto metodiku/aprēķinu ar Ekonomikas ministriju un oficiāli to pievienojusi iepriekš noteiktā projekta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1.2. sadaļa “Mērķis” ar spēkā stāšanās termiņa aprakstu. Papildināts noteikumu projekta anotācijas 1.3. sadaļas “Pašreizējā situācija, problēmas un risinājumi” risinājuma apraksts. Vienlaikus Ekonomikas ministrija ar 2022. gada 28. marta elektronisko vēstuli Nr. 3.8-14/2022/2062N nosūtīja Latvijas Investīciju un attīstības aģentūrai, kā arī informācijai Finanšu ministrijai apliecinājumu, ka Ekonomikas ministrija ir iepazinusies un saskaņo LIAA sagatavoto iepriekš noteiktā projekta (TBC) netiešo izmaksu likmes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attiecībā uz reģionālo atbalstu šobrīd ir paziņots Eiropas Komisijai (SA.61362) līdz 2021. gada 31.decembrim, t.i., no kopsavilkuma informācijas pielikuma faila: "[..] </w:t>
            </w:r>
            <w:r w:rsidR="00000000" w:rsidRPr="00000000" w:rsidDel="00000000">
              <w:rPr>
                <w:i w:val="1"/>
                <w:rtl w:val="0"/>
              </w:rPr>
              <w:t xml:space="preserve">reģionālais atbalsts saskaņā ar apstiprināto reģionāla atbalsta karti (SA.58565) tiks sniegts līdz 31.12.2021</w:t>
            </w:r>
            <w:r w:rsidR="00000000" w:rsidRPr="00000000" w:rsidDel="00000000">
              <w:rPr>
                <w:rtl w:val="0"/>
              </w:rPr>
              <w:t xml:space="preserve">", un to plānots pagarināt, lūdzam anotācijas 5.sadaļu papildināt ar informāciju, ka Ekonomikas ministrija sadarbībā ar LIAA 20 darba dienu laikā no MK Noteikumu projekta spēkā stāšanās dienas iesniegs kopsavilkuma informāciju par programmu Eiropas Komisijai SANI2 sistēmā. Vienlaikus vēršam uzmanību, ka lēmumu par atbalsta piešķiršanu saskaņā ar Komisijas regulu Nr. 651/2014 14.panta mērķi var pieņemt līdz šīs regulas darbības beigām, t.i. 2023.gada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V sadaļas II tabulu ar noteikumu projekta 30.punkta izvērtējumu pret Eiropas Komisijas regulas Nr.651/2014 14.panta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V sadaļas II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punktā izteiktais Ministru kabineta 2021. gada 7. janvāra noteikumu Nr. 4 "Norvēģijas finanšu instrumenta 2014.–2021. gada perioda programmas "Uzņēmējdarbības attīstība, inovācijas un mazie un vidējie uzņēmumi" īstenošanas noteikumi" (turpmāk - noteikumi Nr. 4) 17. punkts (ietverts attiecīgo noteikumu 1. nodaļā kā vispārīgais jautājums, tātad attiecināms uz šiem noteikumiem kopumā, un paredz atsauci uz visām šajos noteikumos noteiktajām komercdarbības atbalsta kontroles normām) ir neskaidrs un nav nepārprotami nodalīts no noteikumu projekta 3. punktā izteiktā noteikumu Nr. 4 66. punkta (ietverts 2.4. apakšnodaļā "Atklāta konkursa un neliela apjoma grantu shēmu projektu īstenošanas nosacījumi" un paredz atsauci uz visām šajos noteikumos noteiktajām komercdarbības atbalsta kontroles normām). Attiecīgi tiesiskās noteiktības nolūkā lūdzam strukturāli skaidri un vienuviet konsekventi noteikumos Nr. 4 norādīt gadījumus, kādos tiek atgūts komercdarbības atbalsts, tai skaitā katrā gadījumā arī atsaucoties uz konkrētām noteikumu Nr. 4 vienībām (nodaļām), kur ietvertas komercdarbības atbalsta kontroles normas, kuru pārkāpumu gadījumā attiecīgais atbalsts atmaksājams.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3. punkts izteikts jaunā redakcijā. Skaidrojam, ka noteikuma projekta 1. punktā izteiktais Ministru kabineta 2021. gada 7. janvāra noteikumu Nr. 4 "Norvēģijas finanšu instrumenta 2014.–2021. gada perioda programmas "Uzņēmējdarbības attīstība, inovācijas un mazie un vidējie uzņēmumi" īstenošanas noteikumi" (turpmāk – noteikumi Nr. 4) 17. punkts ir attiecināms gan atklāta konkursa un nelielu apjomu grantu shēmu (MK noteikumu Nr. 4 2. nodaļa), gan uz iepriekš noteikto projektu (MK noteikumu Nr. 4 3. nodaļa), savukārt noteikuma projekta 3. punkts ir attiecināms tikai uz atklāta konkursa un neliela apjoma grantu shēmu projektiem (MK noteikumu Nr. 4 2. un 3.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pārkāptas šo noteikumu 1., 2. vai 3. nodaļā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pārkāptas šo noteikumu 1., 2. vai 3. nodaļā noteiktās komercdarbības atbalsta kontroles normas, kas izriet no Komisijas regulas Nr. </w:t>
            </w:r>
            <w:r w:rsidR="00000000" w:rsidRPr="00000000" w:rsidDel="00000000">
              <w:rPr>
                <w:rtl w:val="0"/>
              </w:rPr>
              <w:t xml:space="preserve">1407/2013</w:t>
            </w:r>
            <w:r w:rsidR="00000000" w:rsidRPr="00000000" w:rsidDel="00000000">
              <w:rPr>
                <w:rtl w:val="0"/>
              </w:rPr>
              <w:t xml:space="preserve">,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paredz stingrākas prasības nekā izriet no Komisijas regulas Nr. 1407/2013, piem., noteikumu 18.punktā noteikts atbalsta kumulācijas aizliegums, lūdzam  nepārprotamai interpretācijai noteikumu 17.punkta redakcijās saglabāt vārdus “tostarp nosacījumi” pirms vārdiem "kas izriet no Komisijas regulas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Noteikuma projekta 1. punkts, izsakot MK noteikumu Nr. 4 17. punktu jaunā redakcijā. Vienlaikus atbilstoši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pārkāptas šo noteikumu 1., 2. vai 3. nodaļā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Kurzemes, Zemgales, Vidzemes un Latgales reģionā – sīkajiem (mikro), mazajiem komersantiem 55 % vai vidējiem komersantiem 45 % no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2. novembra noteikumu Nr. 729 "Noteikumi par reģionālās attīstības atbalstu Latvijas Republikā līdz 2027. gadam" 3. un 5.punktu attiecībā uz mazajiem uzņēmumiem, kas darbojas Kurzemes, Zemgales, Vidzemes un Latgales reģionā maksimālā reģionālā atbalsta intensitāte var būt 60% (30%+10%+20%), savukārt uz vidējiem 50% (30%+10%+10%). Aicinām izvērtēt precizējumu veikšanu MK noteikumu Nr.4 30.2.apakšpunktā. Gadījumā, ja tomēr programmas ietvaros netiek piemērotas iepriekš minētās maksimālā atbalsta iespējas, lūdzam anotācijas V sadaļas 2. tabulā pie noteikumu projekta punktu izvērtējuma norādīt un pamatot, ka tiek paredzētas stingrākas prasības, t.sk., pret programmas līguma 2.pielikuma 4.3.apkašpunktā noteiktajām: </w:t>
            </w:r>
            <w:r w:rsidR="00000000" w:rsidRPr="00000000" w:rsidDel="00000000">
              <w:rPr>
                <w:i w:val="1"/>
                <w:rtl w:val="0"/>
              </w:rPr>
              <w:t xml:space="preserve">“Call for proposals (Main call) will provide grants with aid intensity up to 45% for medium-sized enterprises and 55% for small-sized enterprises”.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V sadaļas II tabula.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tabulā norādīts, ka, ieviešot </w:t>
            </w:r>
            <w:r w:rsidR="00000000" w:rsidRPr="00000000" w:rsidDel="00000000">
              <w:rPr>
                <w:i w:val="1"/>
                <w:rtl w:val="0"/>
              </w:rPr>
              <w:t xml:space="preserve">Komisijas 2014. gada 17. jūnija regulas (ES) Nr. 651/2014, ar ko noteiktas atbalsta kategorijas atzīst par saderīgām ar iekšējo tirgu, piemērojot Līguma 107. un 108. pantu</w:t>
            </w:r>
            <w:r w:rsidR="00000000" w:rsidRPr="00000000" w:rsidDel="00000000">
              <w:rPr>
                <w:rtl w:val="0"/>
              </w:rPr>
              <w:t xml:space="preserve"> 14. panta 12. punkta normas, tiek paredzētas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noteikumu projekts paredz, ka maksimāli pieļaujamā atbalsta intensitāte no 2022. gada 1. janvāra Ministru kabineta noteikumu Nr. 4 31. punktā norādītajām darbībām tiek noteikta, ievērojot maksimālo atbalsta intensitāti, kas noteikta reģionālā atbalsta plānā attiecīgajā periodā, vienlaikus nepārsniedzot Programmas līguma 2. pielikuma 4.3. apakšpunktā noteikto maksimālo intensitāti  sīkajiem (mikro), mazajiem komersantiem – 55 %, bet vidējiem komersantiem – 45 %. Līdz ar to Noteikumu projektā tiek noteikta maksimālā atbalsta intensitāte Rīgā un Pierīgas reģionā – sīkajiem (mikro), mazajiem komersantiem 50 % vai vidējiem komersantiem 40 % no attiecināmajām izmaksām, bet Kurzemes, Zemgales, Vidzemes un Latgales reģionā – sīkajiem (mikro), mazajiem komersantiem 55 % vai vidējiem komersantiem 45 % no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tiek pārkāptas šo noteikumu 1. vai 2. nodaļā noteiktās komercdarbības atbalsta kontroles normas, kas izriet no Regulas Nr. </w:t>
            </w:r>
            <w:r w:rsidR="00000000" w:rsidRPr="00000000" w:rsidDel="00000000">
              <w:rPr>
                <w:rtl w:val="0"/>
              </w:rPr>
              <w:t xml:space="preserve">651/2014</w:t>
            </w:r>
            <w:r w:rsidR="00000000" w:rsidRPr="00000000" w:rsidDel="00000000">
              <w:rPr>
                <w:rtl w:val="0"/>
              </w:rPr>
              <w:t xml:space="preserve">, līdzfinansējuma saņēmējam ir pienākums atmaksāt programmas apsaimniekotājam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paredz stingrākas prasības nekā izriet no Komisijas regulas Nr.651/2014, piem., noteikumu 30.</w:t>
            </w:r>
            <w:r w:rsidR="00000000" w:rsidRPr="00000000" w:rsidDel="00000000">
              <w:rPr>
                <w:vertAlign w:val="superscript"/>
                <w:rtl w:val="0"/>
              </w:rPr>
              <w:t xml:space="preserve">1</w:t>
            </w:r>
            <w:r w:rsidR="00000000" w:rsidRPr="00000000" w:rsidDel="00000000">
              <w:rPr>
                <w:rtl w:val="0"/>
              </w:rPr>
              <w:t xml:space="preserve">punktā tiek paredzētas zemākas maksimālās atbalsta intensitātes nekā to paredz reģionālā atbalsta kartē (Ministru kabineta 2021. gada 2. novembra noteikumu Nr. 729 "Noteikumi par reģionālās attīstības atbalstu Latvijas Republikā līdz 2027. gadam") noteiktās maksimālās iespējas, lūdzam nepārprotamai interpretācijai noteikumu 66.punkta redakcijā saglabāt vārdus “tostarp nosacījumi” pirms vārdiem "kas izriet no Regulas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Noteikuma projekta 3. punkts, izsakot MK noteikumu Nr. 4 66. punktu jaunā redakcijā. Vienlaikus atbilstoši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tiek pārkāptas šo noteikumu 1. vai 2. nodaļā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līdzfinansējuma saņēmējam ir pienākums atmaksāt programmas apsaimniekotājam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norādītajiem iepriekš noteiktā projekta partneriem ir attiecināmas netiešās attiecināmās izmaksas, kas radušās tiešā saistībā ar attiecināmajām tiešajām izmaksām, kuras ir attiecināmas uz iepriekš noteikto projektu. Iepriekš noteiktā projekta netiešās attiecināmās izmaksas aprēķina kā vienotu likmi 25 % apmērā no projekta partnera kopējām tiešajām attiecināmajām izmaksām, atskaitot ārējo pakalpojumu izmaksas un to pieejamo trešo pušu resursu izmaksas, ko neizmanto līdzfinansējuma saņēmēja vai projekta partnera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noteikumu projekta 1. punktā norādot uz tiešajām attiecināmajām izmaksām, nepieciešamības gadījumā atsaucoties uz noteikumu Nr. 4 vienību (-ām), kur attiecīgās izmaksas ietvertas un izvairoties no norādes par attiecināmajām tiešajām izmaksām.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 izsakot MK noteikumu Nr. 4 73.</w:t>
            </w:r>
            <w:r w:rsidR="00000000" w:rsidRPr="00000000" w:rsidDel="00000000">
              <w:rPr>
                <w:vertAlign w:val="superscript"/>
                <w:rtl w:val="0"/>
              </w:rPr>
              <w:t xml:space="preserve">1</w:t>
            </w:r>
            <w:r w:rsidR="00000000" w:rsidRPr="00000000" w:rsidDel="00000000">
              <w:rPr>
                <w:rtl w:val="0"/>
              </w:rPr>
              <w:t xml:space="preserve"> apakšpunktu jaunā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norādītajiem iepriekš noteiktā projekta partneriem ir attiecināmas netiešās attiecināmās izmaksas, kas saistītas ar šo noteikumu </w:t>
            </w:r>
            <w:r w:rsidR="00000000" w:rsidRPr="00000000" w:rsidDel="00000000">
              <w:rPr>
                <w:rtl w:val="0"/>
              </w:rPr>
              <w:t xml:space="preserve">72.3. </w:t>
            </w:r>
            <w:r w:rsidR="00000000" w:rsidRPr="00000000" w:rsidDel="00000000">
              <w:rPr>
                <w:rtl w:val="0"/>
              </w:rPr>
              <w:t xml:space="preserve">un </w:t>
            </w:r>
            <w:r w:rsidR="00000000" w:rsidRPr="00000000" w:rsidDel="00000000">
              <w:rPr>
                <w:rtl w:val="0"/>
              </w:rPr>
              <w:t xml:space="preserve">72.4.</w:t>
            </w:r>
            <w:r w:rsidR="00000000" w:rsidRPr="00000000" w:rsidDel="00000000">
              <w:rPr>
                <w:rtl w:val="0"/>
              </w:rPr>
              <w:t xml:space="preserve"> apakšpunktā norādīto atbalstāmo darbību īstenošanu un radušās tiešā saistībā ar tiešajām attiecināmajām izmaksām, kuras ir attiecināmas uz iepriekš noteikto projektu. Iepriekš noteiktā projekta netiešās attiecināmās izmaksas aprēķina kā vienotu likmi 25 % apmērā no projekta partnera kopējām tiešajām attiecināmajām izmaksām, atskaitot ārējo pakalpojumu izmaksas un to pieejamo trešo pušu resursu izmaksas, ko neizmanto līdzfinansējuma saņēmēja vai projekta partnera telpās.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norādītajiem iepriekš noteiktā projekta partneriem ir attiecināmas netiešās attiecināmās izmaksas, kas radušās tiešā saistībā ar attiecināmajām tiešajām izmaksām, kuras ir attiecināmas uz iepriekš noteikto projektu. Iepriekš noteiktā projekta netiešās attiecināmās izmaksas aprēķina kā vienotu likmi 25 % apmērā no projekta partnera kopējām tiešajām attiecināmajām izmaksām, atskaitot ārējo pakalpojumu izmaksas un to pieejamo trešo pušu resursu izmaksas, ko neizmanto līdzfinansējuma saņēmēja vai projekta partnera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4 73. punkta otro teikumu [iepriekš noteiktā projekta līdzfinansējuma saņēmējs] sadarbībā ar šo noteikumu 71. punktā minētajiem iepriekš noteiktā projekta partneriem īsteno šo noteikumu 72.3. un 72.4. apakšpunktā norādītās atbalstāmās darbības. Savukārt atbilstoši spēkā esošo noteikumu Nr. 4 73.</w:t>
            </w:r>
            <w:r w:rsidR="00000000" w:rsidRPr="00000000" w:rsidDel="00000000">
              <w:rPr>
                <w:vertAlign w:val="superscript"/>
                <w:rtl w:val="0"/>
              </w:rPr>
              <w:t xml:space="preserve">1</w:t>
            </w:r>
            <w:r w:rsidR="00000000" w:rsidRPr="00000000" w:rsidDel="00000000">
              <w:rPr>
                <w:rtl w:val="0"/>
              </w:rPr>
              <w:t xml:space="preserve">punktam iepriekš noteiktā projekta partneriem ir attiecināmas izmaksas, kuras </w:t>
            </w:r>
            <w:r w:rsidR="00000000" w:rsidRPr="00000000" w:rsidDel="00000000">
              <w:rPr>
                <w:u w:val="single"/>
                <w:rtl w:val="0"/>
              </w:rPr>
              <w:t xml:space="preserve">saistībā ar šo noteikumu 72.3. un 72.4. apakšpunktā norādīto atbalstāmo darbību īstenošanu</w:t>
            </w:r>
            <w:r w:rsidR="00000000" w:rsidRPr="00000000" w:rsidDel="00000000">
              <w:rPr>
                <w:rtl w:val="0"/>
              </w:rPr>
              <w:t xml:space="preserve"> radušās kā netiešās attiecināmās izmaksas. Tātad secināms, ka sadarbības partneriem var tikt attiecinātas vienīgi tiešās attiecināmās izmaksas, kuras radušās saistībā ar šo noteikumu 72.3. un 72.4. apakšpunktā norādīto atbalstāmo darbību īstenošanu. Ievērojot minēto, lūdzam atbilstoši precizēt noteikumu projekta 1. punktu, kas neparedz attiecīgu ierobežojumu un paredz attiecināt netiešās attiecināmās izmaksas, kas radušās tiešā saistībā ar visām 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 izsakot MK noteikumu Nr. 4 73.</w:t>
            </w:r>
            <w:r w:rsidR="00000000" w:rsidRPr="00000000" w:rsidDel="00000000">
              <w:rPr>
                <w:vertAlign w:val="superscript"/>
                <w:rtl w:val="0"/>
              </w:rPr>
              <w:t xml:space="preserve">1 </w:t>
            </w:r>
            <w:r w:rsidR="00000000" w:rsidRPr="00000000" w:rsidDel="00000000">
              <w:rPr>
                <w:rtl w:val="0"/>
              </w:rPr>
              <w:t xml:space="preserve">apakšpunktu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norādītajiem iepriekš noteiktā projekta partneriem ir attiecināmas netiešās attiecināmās izmaksas, kas saistītas ar šo noteikumu </w:t>
            </w:r>
            <w:r w:rsidR="00000000" w:rsidRPr="00000000" w:rsidDel="00000000">
              <w:rPr>
                <w:rtl w:val="0"/>
              </w:rPr>
              <w:t xml:space="preserve">72.3. </w:t>
            </w:r>
            <w:r w:rsidR="00000000" w:rsidRPr="00000000" w:rsidDel="00000000">
              <w:rPr>
                <w:rtl w:val="0"/>
              </w:rPr>
              <w:t xml:space="preserve">un </w:t>
            </w:r>
            <w:r w:rsidR="00000000" w:rsidRPr="00000000" w:rsidDel="00000000">
              <w:rPr>
                <w:rtl w:val="0"/>
              </w:rPr>
              <w:t xml:space="preserve">72.4.</w:t>
            </w:r>
            <w:r w:rsidR="00000000" w:rsidRPr="00000000" w:rsidDel="00000000">
              <w:rPr>
                <w:rtl w:val="0"/>
              </w:rPr>
              <w:t xml:space="preserve"> apakšpunktā norādīto atbalstāmo darbību īstenošanu un radušās tiešā saistībā ar tiešajām attiecināmajām izmaksām, kuras ir attiecināmas uz iepriekš noteikto projektu. Iepriekš noteiktā projekta netiešās attiecināmās izmaksas aprēķina kā vienotu likmi 25 % apmērā no projekta partnera kopējām tiešajām attiecināmajām izmaksām, atskaitot ārējo pakalpojumu izmaksas un to pieejamo trešo pušu resursu izmaksas, ko neizmanto līdzfinansējuma saņēmēja vai projekta partnera telpās.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anotācijas 1.3.sadaļas “Pašreizējā situācija, problēmas un risinājumi” risinājuma aprakstu ar izvērstāku informāciju, kāpēc programmas iepriekš noteiktā projekta aktivitāšu īstenošanai ir nepieciešami juristu un finansistu administratīvie resursi, kā arī cits palīgpersonāls, kas rada netiešo izmaksu pieaugumu līdz 25 % un kā tas ietekmēs jau noslēgto līgumu un līdzfinansējuma saņēmēju, t.sk. kādas darbības tiks veiktas netiešo izmaksu likmes izmaiņu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sadaļas “Pašreizējā situācija, problēmas un risinājumi” problēmas apraksts ar izvērstāku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pārkāptas Komisijas regulas Nr. 1407/2013 prasības, līdzfinansējuma saņēmējam vai gala labuma guvējam ir pienākums atmaksāt programmas apsaimniekotājam vai iepriekš noteiktā projekta īstenotājam visu projekta ietvaros saņemto komercdarbības atbalstu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(turpmāk – Komisijas regula Nr.  </w:t>
            </w:r>
            <w:r w:rsidR="00000000" w:rsidRPr="00000000" w:rsidDel="00000000">
              <w:rPr>
                <w:rtl w:val="0"/>
              </w:rPr>
              <w:t xml:space="preserve">794/2004</w:t>
            </w:r>
            <w:r w:rsidR="00000000" w:rsidRPr="00000000" w:rsidDel="00000000">
              <w:rPr>
                <w:rtl w:val="0"/>
              </w:rPr>
              <w:t xml:space="preserve">), 10. pantu, tiem pieskaitot 100 bāzes punktus, no dienas, kad valsts atbalsts tika izmaksāts līdzfinansējuma saņēmējam vai gala labuma guvējam, līdz tā atgūšanas dienai, ievērojot Komisijas regulas Nr.  </w:t>
            </w:r>
            <w:r w:rsidR="00000000" w:rsidRPr="00000000" w:rsidDel="00000000">
              <w:rPr>
                <w:rtl w:val="0"/>
              </w:rPr>
              <w:t xml:space="preserve">794/2004</w:t>
            </w:r>
            <w:r w:rsidR="00000000" w:rsidRPr="00000000" w:rsidDel="00000000">
              <w:rPr>
                <w:rtl w:val="0"/>
              </w:rPr>
              <w:t xml:space="preserve">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08.06.2021 stājās spēkā grozījumi Komercdarbības atbalsta kontroles likumā, papildinot to ar normām, kas nacionālā līmenī nosaka pienākumu atgūt nelikumīgo komercdarbības atbalstu gadījumos, kad Eiropas Komisija nav pieņēmusi lēmumu par nelikumīga un nesaderīga ar Eiropas Savienības iekšējo tirgu atbalsta atgūšanu, kā arī to, ka nelikumīgs komercdarbības atbalsts ir atgūstams ne tikai tad, ja atbalsta sniedzējs konstatē pārkāpumus, kas noved pie nelikumīga atbalsta atgūšanas, bet arī gadījumos, kad citas institūcijas konstatē nelikumīga atbalsta piešķiršanas gadījumus (tai skaitā, Eiropas Komisija), lūdzam MK noteikumu Nr.4 17.punktu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[līdzfinansējuma saņēmējam vai gala labuma guvējam] ir pienākums atmaksāt [programmas apsaimniekotājam vai iepriekš noteiktā projekta īstenotājam] visu projekta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 punktu, izsakot MK noteikumu Nr. 4 17. punktu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tiek pārkāptas šo noteikumu 1., 2. vai 3. nodaļā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līdzfinansējuma saņēmējam vai gala labuma guvējam ir pienākums atmaksāt programmas apsaimniekotājam vai iepriekš noteiktā projekta īstenotājam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31.</w:t>
            </w:r>
            <w:r w:rsidR="00000000" w:rsidRPr="00000000" w:rsidDel="00000000">
              <w:rPr>
                <w:i w:val="1"/>
                <w:rtl w:val="0"/>
              </w:rPr>
              <w:t xml:space="preserve"> </w:t>
            </w:r>
            <w:r w:rsidR="00000000" w:rsidRPr="00000000" w:rsidDel="00000000">
              <w:rPr>
                <w:rtl w:val="0"/>
              </w:rPr>
              <w:t xml:space="preserve">punktā norādītajām darbībām maksimāli pieļaujamā atbalsta intensitāte: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Nr.4 30.punktā noteiktās maksimālās atbalsta intensitātes reģionālā atbalsta gadījumā bija piemērojamas līdz 2021.gada 31.decembrim, un kā arī informējam, ka jaunā Latvijas reģionālā atbalsta karte tika saskaņota ar Eiropas Komisiju 2021.gada 15.decembrī (lieta SA.100587 (2021/N)) un jaunās maksimālās atbalsta intensitātes saskaņā ar </w:t>
            </w:r>
            <w:r w:rsidR="00000000" w:rsidRPr="00000000" w:rsidDel="00000000">
              <w:rPr>
                <w:i w:val="1"/>
                <w:rtl w:val="0"/>
              </w:rPr>
              <w:t xml:space="preserve">Ministru kabineta 2021. gada 2. novembra noteikumiem Nr.729 "Noteikumi par reģionālās attīstības atbalstu Latvijas Republikā līdz 2027. gadam"</w:t>
            </w:r>
            <w:r w:rsidR="00000000" w:rsidRPr="00000000" w:rsidDel="00000000">
              <w:rPr>
                <w:rtl w:val="0"/>
              </w:rPr>
              <w:t xml:space="preserve"> (turpmāk - MK noteikumi Nr.729) ir piemērojamas no 2022.gada 1.janvāra. Papildus vēršam uzmanību, ka Eiropas Komisijai nosūtītajā kopsavilkuma informācijā par šo atbalsta programmu (SA.61362) bija norādīts, ka "</w:t>
            </w:r>
            <w:r w:rsidR="00000000" w:rsidRPr="00000000" w:rsidDel="00000000">
              <w:rPr>
                <w:i w:val="1"/>
                <w:rtl w:val="0"/>
              </w:rPr>
              <w:t xml:space="preserve">Atbalsts programmas ietvaros tiks sniegts saskaņā ar Regulas 14., 25. un 28.pantu. Paziņojuma veidlapas beigu termiņš norādīts saskaņā ar Regulas 25. un un 28.pantu, kas ir līdz 30.06.2024. </w:t>
            </w:r>
            <w:r w:rsidR="00000000" w:rsidRPr="00000000" w:rsidDel="00000000">
              <w:rPr>
                <w:i w:val="1"/>
                <w:u w:val="single"/>
                <w:rtl w:val="0"/>
              </w:rPr>
              <w:t xml:space="preserve">Taču reģionālais atbalsts saskaņā ar apstiprināto reģionāla atbalsta karti (SA.58565) tiks sniegts līdz 31.12.2021.</w:t>
            </w:r>
            <w:r w:rsidR="00000000" w:rsidRPr="00000000" w:rsidDel="00000000">
              <w:rPr>
                <w:rtl w:val="0"/>
              </w:rPr>
              <w:t xml:space="preserve">" Lūdzam sniegt skaidrojumu, vai šīs atbalsta programmas ietvaros reģionālais atbalsts kopš 2022.gada 1.janvāra vairs netiek piešķirts un nav plānots piešķirt. Attiecīgi, lūdzam izvērtēt nepieciešamību precizēt  MK noteikumu 30.punktu un noteikt jaunajai reģionālajai atbalsta kartei atbilstošas piemērojamās atbalsta intensitātes šajā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Nr.729 nosaka Latvijas Republikas teritorijas, kurās komercsabiedrībām var piešķirt reģionālās attīstības atbalstu, un maksimāli pieļaujamo atbalsta intensitāti. 2022.-2027 gada periodā Latvijai noteiktā atbalsta bāzes intensitāte ir 30 % (ar papildu piemērojamajiem bonusiem, kas noteikti minētajos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apstiprināto reģionāla atbalsta karti (SA.58565) piešķiršanas termiņš reģionālajam atbalstam ir līdz 2021. gada 31. decembrim. Pēc 2021. gada 31. decembra ir plānots reģionālo atbalstu piešķirt tikai tiem komersantiem, kuri, iesniedzot projekta iesniegumu, saņēmuši noraidošu lēmumu un šī lēmuma apstrīdēšanas rezultātā ir pieņemts labvēlīgs lēmums komersantam un atbalsts piešķirts ar lēmumu par projekta iesnieguma apstiprināšanu vai atzinumu par lēmumā noteikto nosacījumu izpildi, ja iepriekš pieņemts lēmums par projekta iesnieguma apstiprināšanu ar nosacījumu, vai programmas finansējuma pārdales rezultātā atbrīvojas finansējums, lai atbalstu piešķirtu nākamajam projekta iesniegumam no rezerves projektu iesniegumu saraksta. Maksimālās intensitātes šo noteikumu 31. punktā noteiktajām darbībām ir piemērojamas atbilstoši Ministru kabineta 2021. gada 2. novembra noteikumu Nr. 729 “Noteikumi pa reģionālās attīstības atbalstu Latvijas Republikā līdz 2027.gadam” 3., 5. un 8. punktā noteiktajam un ievērojot Programmas līguma 2. pielikuma 4.3. punktā noteikto par maksimālie pieļaujamo atbalsta intensitāti Rīgā un Pierīgas reģionā - sīkajiem (mikro), mazajiem komersantiem 50 %  vai vidējiem komersantiem 40 % no attiecināmajām izmaksām, savukārt Kurzemes, Zemgales, Vidzemes un Latgales reģionā - sīkajiem (mikro), mazajiem komersantiem 55 % vai vidējiem komersantiem 45% no attiecināmajām izmaksām. Noteikumu projekts papildināts ar 2. punktu, izsakot MK noteikumu Nr. 4 30.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31.</w:t>
            </w:r>
            <w:r w:rsidR="00000000" w:rsidRPr="00000000" w:rsidDel="00000000">
              <w:rPr>
                <w:i w:val="1"/>
                <w:rtl w:val="0"/>
              </w:rPr>
              <w:t xml:space="preserve"> </w:t>
            </w:r>
            <w:r w:rsidR="00000000" w:rsidRPr="00000000" w:rsidDel="00000000">
              <w:rPr>
                <w:rtl w:val="0"/>
              </w:rPr>
              <w:t xml:space="preserve">punktā norādītajām darbībām maksimāli pieļaujamā atbalsta intensitāte: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2022.gada 1.janvāra ir mainījušās maksimāli pieļaujamās reģionālā atbalsta intensitātes, kas noteiktas ar Ministru kabineta 2021. gada 2. novembra noteikumos Nr. 729 "Noteikumi par reģionālās attīstības atbalstu Latvijas Republikā līdz 2027. gadam" (EK lēmums SA.100587), lai nodrošinātu MK noteikumu Nr.4 korektu uztveramību gan attiecībā uz projektiem, kuriem atbalsts tika piešķirts līdz 31.12.2021, gan arī uz tiem, kam atbalsts tiks piešķirts pēc iepriekš minētā datuma, aicinām izvērtēt iespēju negrozīt MK noteikumu Nr.4 30.punktu un piemērojamās atbalsta intensitātes atbalstam, kas tiks piešķirts sākot ar 01.01.2022. ietvert jaunā MK noteikumu Nr.4 punktā, piem., kā 30</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 30. punkts atstāts sākotnējā (spēkā esošā) redakcijā, vienlaikus papildinot ar jaunu 30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Šo noteikumu 31. punktā norādītajām darbībām maksimāli pieļaujamā atbalsta intensitāte no 2022.gada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 Rīgā un Pierīgas reģionā - sīkajiem (mikro), mazajiem komersantiem 50 %  vai vidējiem komersantiem 40 % no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 Kurzemes, Zemgales, Vidzemes un Latgales reģionā - sīkajiem (mikro), mazajiem komersantiem 55 % vai vidējiem komersantiem 45 % no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tiek pārkāptas Komisijas regulas Nr. 651/2014 prasības, līdzfinansējuma saņēmējam ir pienākums atmaksāt programmas apsaimniekotājam visu projekta ietvaros saņemto nelikumīgo komercdarbības atbalstu kopā ar procentiem, kuru likmi publicē Eiropas Komisija saskaņā ar Komisijas regulas Nr. 794/2004 10. pantu, tiem pieskaitot 100 bāzes punktus, no dienas, kad aizdevums tika izmaksāts līdzfinansējuma saņēmējam, līdz tā atgūšanas dienai, ievērojot Komisijas regulas Nr. 794/2004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izteiktajam priekšlikumam par nepieciešamajiem grozījumiem MK noteikumu Nr.4 17.punktā, ņemot vērā, ka 08.06.2021 stājās spēkā grozījumi Komercdarbības atbalsta kontroles likumā, papildinot to ar normām, kas nosaka pienākumu atgūt nelikumīgo komercdarbības atbalstu gadījumos, kad Eiropas Komisija nav pieņēmusi lēmumu par nelikumīga un nesaderīga ar Eiropas Savienības iekšējo tirgu atbalsta atgūšanu, kā arī to, ka nelikumīgs komercdarbības atbalsts ir atgūstams ne tikai tad, ja atbalsta sniedzējs konstatē pārkāpumus, kas noved pie nelikumīga atbalsta atgūšanas, bet arī gadījumos, kad citas institūcijas konstatē nelikumīga atbalsta piešķiršanas gadījumus (tai skaitā, Eiropas Komisija), lūdzam MK noteikumu Nr.4 66.punktu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[līdzfinansējuma saņēmējam] ir pienākums atmaksāt [programmas apsaimniekotājam]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 punktu, izsakot MK noteikumu Nr. 4 66. punktu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Ja tiek pārkāptas šo noteikumu 1. vai 2. nodaļā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līdzfinansējuma saņēmējam ir pienākums atmaksāt programmas apsaimniekotājam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vai </w:t>
            </w:r>
            <w:r w:rsidR="00000000" w:rsidRPr="00000000" w:rsidDel="00000000">
              <w:rPr>
                <w:rtl w:val="0"/>
              </w:rPr>
              <w:t xml:space="preserve">V</w:t>
            </w:r>
            <w:r w:rsidR="00000000" w:rsidRPr="00000000" w:rsidDel="00000000">
              <w:rPr>
                <w:rtl w:val="0"/>
              </w:rPr>
              <w:t xml:space="preserve">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22-TA-766</w:t>
    </w:r>
    <w:r>
      <w:br/>
    </w:r>
    <w:r w:rsidR="00000000" w:rsidRPr="00000000" w:rsidDel="00000000">
      <w:rPr>
        <w:rtl w:val="0"/>
      </w:rPr>
      <w:t xml:space="preserve">12.05.2022. 15.39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22-TA-766</w:t>
    </w:r>
    <w:r>
      <w:br/>
    </w:r>
    <w:r w:rsidR="00000000" w:rsidRPr="00000000" w:rsidDel="00000000">
      <w:rPr>
        <w:rtl w:val="0"/>
      </w:rPr>
      <w:t xml:space="preserve">12.05.2022. 15.39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Izziņa_22-TA-766.docx</dc:title>
</cp:coreProperties>
</file>

<file path=docProps/custom.xml><?xml version="1.0" encoding="utf-8"?>
<Properties xmlns="http://schemas.openxmlformats.org/officeDocument/2006/custom-properties" xmlns:vt="http://schemas.openxmlformats.org/officeDocument/2006/docPropsVTypes"/>
</file>