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jaunām iznākuma un rezultāta rādītāju vērtībām, ko plāno sasniegt bez elastības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precizēts, norādot sasniedzamos iznākuma rādītāus bez elastības finansējuma.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kopējā finansējuma samazinājumu, lūdzam papildināt noteikumu projekta anotāciju ar informāciju par pasākuma abu kārtu finansējuma dalījumu pa visām intervences kategorijām (Intervences laukums, Finansējuma veids, Teritoriālie sasniegšanas mehānismi, ESF+ sekundārās tēmas un Dzimumu līdztiesība), norādot intervences kodus un tam piemērojamo pasākuma fondu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informācija nav norādīta, jo KPVIS sistēmā intervences kategorijas ir norādītas par pieejamo finansējumu, un papildus izmaiņas nav nepieciešams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laukums: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011 - Lielo uzņēmumu pētniecības un inovācijas darbības, tostarp tīklošana - 4 925 340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170 - Ar fondu īstenošanu saistīto programmu iestāžu un struktūru spēju uzlabošana - 498 769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 Dotācija - 5 424 109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sasniegšanas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 Bez teritoriālā mērķa - 5 424 109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sekundārās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09 - Nepiemēro - 5 424 109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03 - Dzimumu neitralitāte - 5 424 109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Makroreģionālā un jūras baseinu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 Nav ieguldījuma makroreģionālajās un jūras baseina stratēģijās - 5 424 109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papildināt Ministru kabineta 2023. gada 22. augusta noteikumus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ar 65.23. apakšpunktu, nosakot, ka sadarbības tīkls var pieprasīt izziņu no Sodu reģistra Iekšlietu ministrijas Informācijas centram, lūdzam dzēst anotācijas sadaļas "Problēmas un risinājumi. Problēmas apraksts" 3.punktu un sadaļas "Risinājuma apraksts"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skaidrojums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5 424 109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4 610 492 </w:t>
            </w:r>
            <w:r w:rsidR="00000000" w:rsidRPr="00000000" w:rsidDel="00000000">
              <w:rPr>
                <w:i w:val="1"/>
                <w:rtl w:val="0"/>
              </w:rPr>
              <w:t xml:space="preserve">euro</w:t>
            </w:r>
            <w:r w:rsidR="00000000" w:rsidRPr="00000000" w:rsidDel="00000000">
              <w:rPr>
                <w:rtl w:val="0"/>
              </w:rPr>
              <w:t xml:space="preserve">, valsts budžeta finansējums 567 350 </w:t>
            </w:r>
            <w:r w:rsidR="00000000" w:rsidRPr="00000000" w:rsidDel="00000000">
              <w:rPr>
                <w:i w:val="1"/>
                <w:rtl w:val="0"/>
              </w:rPr>
              <w:t xml:space="preserve">euro</w:t>
            </w:r>
            <w:r w:rsidR="00000000" w:rsidRPr="00000000" w:rsidDel="00000000">
              <w:rPr>
                <w:rtl w:val="0"/>
              </w:rPr>
              <w:t xml:space="preserve"> un minimālais privātais līdzfinansējums 246 267 </w:t>
            </w:r>
            <w:r w:rsidR="00000000" w:rsidRPr="00000000" w:rsidDel="00000000">
              <w:rPr>
                <w:i w:val="1"/>
                <w:rtl w:val="0"/>
              </w:rPr>
              <w:t xml:space="preserve">euro</w:t>
            </w:r>
            <w:r w:rsidR="00000000" w:rsidRPr="00000000" w:rsidDel="00000000">
              <w:rPr>
                <w:rtl w:val="0"/>
              </w:rPr>
              <w:t xml:space="preserve">, kas sadalās kārtās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plānotais finansējums ir identisks pieejamam finansējumam, lūdzam izvērtēt iespēju svītrot MK noteikumu Ministru kabineta 2023. gada 22. augusta noteikumus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noteikumu 8. un 11. punkts, ņemot vērā, ka plānotais finansējums ar pieejamo finansējumu bija identisks.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5 424 109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4 610 492 </w:t>
            </w:r>
            <w:r w:rsidR="00000000" w:rsidRPr="00000000" w:rsidDel="00000000">
              <w:rPr>
                <w:i w:val="1"/>
                <w:rtl w:val="0"/>
              </w:rPr>
              <w:t xml:space="preserve">euro</w:t>
            </w:r>
            <w:r w:rsidR="00000000" w:rsidRPr="00000000" w:rsidDel="00000000">
              <w:rPr>
                <w:rtl w:val="0"/>
              </w:rPr>
              <w:t xml:space="preserve">, valsts budžeta finansējums 567 350 </w:t>
            </w:r>
            <w:r w:rsidR="00000000" w:rsidRPr="00000000" w:rsidDel="00000000">
              <w:rPr>
                <w:i w:val="1"/>
                <w:rtl w:val="0"/>
              </w:rPr>
              <w:t xml:space="preserve">euro</w:t>
            </w:r>
            <w:r w:rsidR="00000000" w:rsidRPr="00000000" w:rsidDel="00000000">
              <w:rPr>
                <w:rtl w:val="0"/>
              </w:rPr>
              <w:t xml:space="preserve"> un minimālais privātais līdzfinansējums 246 267 </w:t>
            </w:r>
            <w:r w:rsidR="00000000" w:rsidRPr="00000000" w:rsidDel="00000000">
              <w:rPr>
                <w:i w:val="1"/>
                <w:rtl w:val="0"/>
              </w:rPr>
              <w:t xml:space="preserve">euro</w:t>
            </w:r>
            <w:r w:rsidR="00000000" w:rsidRPr="00000000" w:rsidDel="00000000">
              <w:rPr>
                <w:rtl w:val="0"/>
              </w:rPr>
              <w:t xml:space="preserve">, kas sadalās kārtās šādi: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pievienotās vērtības nodoklis, ja tas nav atgūstams saskaņā ar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2021/1060 64.pants nosaka, ka pievienotās vērtības nodoklis (PVN) nav attiecināms, izņemot  darbībām, kuru kopējās izmaksas ir mazākas nekā 5 000 000 EUR (ieskaitot PVN). Lūdzam svītrot 34.5.punktā "ja tas nav atgūstams saskaņā ar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apakšpunkts precizēts atbilstoši priekšlikumā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pievienotās vērtības nodoklis.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34.1.</w:t>
            </w:r>
            <w:r w:rsidR="00000000" w:rsidRPr="00000000" w:rsidDel="00000000">
              <w:rPr>
                <w:rtl w:val="0"/>
              </w:rPr>
              <w:t xml:space="preserve"> apakšpunktā</w:t>
            </w:r>
            <w:r w:rsidR="00000000" w:rsidRPr="00000000" w:rsidDel="00000000">
              <w:rPr>
                <w:rtl w:val="0"/>
              </w:rPr>
              <w:t xml:space="preserve"> minētajās izmaksās iekļauj to darbinieku personāla izmaksas, kuri noteiktā laikposmā katru mēnesi ne mazāk kā 30 % no normālā darba laika veic pienākumus, kas saistīti ar projektu, un tas ir pamatots ar atbilstošiem izmaksas apliecinošiem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Izlemjot veikt grozījumus MK noteikumos, balstoties uz vadlīniju "Vadlīnijas attiecināmo izmaksu noteikšanai Eiropas Savienības kohēzijas politikas programmas 2021.-2027.gada plānošanas periodā" grozījumiem, kas stājās spēkā 09.06.2025, AI jāņem vērā visi vadlīnijās veiktie grozījumi, ne tikai vēlamie, tas nozīmē, ka jāizvērtē visas izmaksu pozīcijas un nosacījumus MK noteikumos kurus ietekmē izmaiņas vadlīnijās. Izlemjot grozīt MK noteikumus atbilstoši izmaiņām vadlīnijās, t.sk., jāvērtē ietekme uz jau īstenošanā esošajiem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izvērtēt vai izmaksas komunikācijas un vizuālās identitātes prasību nodrošināšanai nav jāplāno kā projekta netiešās izmaksas atbilstoši vadlīniju jaunās redakcijas piemērošanai, kā arī to, ka netiešo izmaksu vienotā likme MK noteikumos ir septiņu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pievienots skaidrojums par veikto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Centrālo finanšu un līgumu aģentūru ir izvērtējusi vadlīniju "Vadlīnijas attiecināmo izmaksu noteikšanai Eiropas Savienības kohēzijas politikas programmas 2021.–2027. gada plānošanas periodā" grozījumus, kas stājās spēkā 2025. gada 9. jūnijā. Izvērtējot izmaiņas, secināms, ka komunikācijas un vizuālās identitātes prasību nodrošināšanas izmaksas vadlīnijās netiek noteiktas kā obligāti klasificējamas netiešajās izmaksās, bet tās var tikt attiecinātas arī kā tiešās izmaksas, ja šādas aktivitātes ir būtiska projekta īstenošanas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nelielā daļā projektu komunikācijas un vizuālās identitātes izmaksas tiek plānotas kā atsevišķa tiešo izmaksu pozīcija un to apjoms ir relatīvi neliels salīdzinājumā ar kopējām attiecināmajām izmaksām, noteikumu projekta papildināšana ar prasību šīs izmaksas plānot tikai kā netiešās izmaksas (7% vienotās likmes ietvaros) šobrīd netiek uzskatīta par lietderīgu. Šādas izmaiņas radītu papildu administratīvu slogu finansējuma saņēmējiem, tostarp nepieciešamību veikt grozījumus jau noslēgtajos līgumos, nesniedzot būtisku pievienoto vērtību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nodrošināts, ka gan jauno, gan īstenojamo projektu ietvaros komunikācijas un vizuālās identitātes izmaksas ir attiecināmas saskaņā ar vadlīnijās noteikto kārtību, izvērtējot to atbilstību projekta mērķim un īstenošanas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34.1.</w:t>
            </w:r>
            <w:r w:rsidR="00000000" w:rsidRPr="00000000" w:rsidDel="00000000">
              <w:rPr>
                <w:rtl w:val="0"/>
              </w:rPr>
              <w:t xml:space="preserve"> apakšpunktā</w:t>
            </w:r>
            <w:r w:rsidR="00000000" w:rsidRPr="00000000" w:rsidDel="00000000">
              <w:rPr>
                <w:rtl w:val="0"/>
              </w:rPr>
              <w:t xml:space="preserve"> minētajās izmaksās iekļauj to darbinieku personāla izmaksas, kuri noteiktā laikposmā katru mēnesi ne mazāk kā 30 % no normālā darba laika veic pienākumus, kas saistīti ar projektu, un tas ir pamatots ar atbilstošiem izmaksas apliecinošiem dokumentiem.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25-TA-1735</w:t>
    </w:r>
    <w:r>
      <w:br/>
    </w:r>
    <w:r w:rsidR="00000000" w:rsidRPr="00000000" w:rsidDel="00000000">
      <w:rPr>
        <w:rtl w:val="0"/>
      </w:rPr>
      <w:t xml:space="preserve">09.09.2025. 11.09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25-TA-1735</w:t>
    </w:r>
    <w:r>
      <w:br/>
    </w:r>
    <w:r w:rsidR="00000000" w:rsidRPr="00000000" w:rsidDel="00000000">
      <w:rPr>
        <w:rtl w:val="0"/>
      </w:rPr>
      <w:t xml:space="preserve">09.09.2025. 11.09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Izziņa_25-TA-1735.docx</dc:title>
</cp:coreProperties>
</file>

<file path=docProps/custom.xml><?xml version="1.0" encoding="utf-8"?>
<Properties xmlns="http://schemas.openxmlformats.org/officeDocument/2006/custom-properties" xmlns:vt="http://schemas.openxmlformats.org/officeDocument/2006/docPropsVTypes"/>
</file>