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25-TA-2260: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2023. gada 12. decembra noteikumos Nr. 751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4.3.5.4. pasākuma "Profesionāla un mūsdienīga sociālā darba attīstība"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(27.02.2025.)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sadaļas "Problēmas apraksts" 2.punkta 2.rindkopā minēto informāciju attiecībā uz risku nesasniegt rezultātu. Vēršam uzmanību, ka 4.3.5.4.pasākuma ietvaros līdz 2029. gada 31. decembrim ir sasniedzami šādi uzraudzības rādītāji: 1) </w:t>
            </w:r>
            <w:r w:rsidR="00000000" w:rsidRPr="00000000" w:rsidDel="00000000">
              <w:rPr>
                <w:b w:val="1"/>
                <w:rtl w:val="0"/>
              </w:rPr>
              <w:t xml:space="preserve">programmas iznākuma rādītājs</w:t>
            </w:r>
            <w:r w:rsidR="00000000" w:rsidRPr="00000000" w:rsidDel="00000000">
              <w:rPr>
                <w:rtl w:val="0"/>
              </w:rPr>
              <w:t xml:space="preserve"> – nodarbinātas personas, tostarp pašnodarbinātas personas – 3 099, tai skaitā līdz 2024. gada 31. decembrim – 692;  2) </w:t>
            </w:r>
            <w:r w:rsidR="00000000" w:rsidRPr="00000000" w:rsidDel="00000000">
              <w:rPr>
                <w:b w:val="1"/>
                <w:rtl w:val="0"/>
              </w:rPr>
              <w:t xml:space="preserve">nacionālais rādītājs </w:t>
            </w:r>
            <w:r w:rsidR="00000000" w:rsidRPr="00000000" w:rsidDel="00000000">
              <w:rPr>
                <w:rtl w:val="0"/>
              </w:rPr>
              <w:t xml:space="preserve">– izstrādātas metodikas darbam ar dažādām klientu grupām (skaits) – 4; 3) </w:t>
            </w:r>
            <w:r w:rsidR="00000000" w:rsidRPr="00000000" w:rsidDel="00000000">
              <w:rPr>
                <w:b w:val="1"/>
                <w:rtl w:val="0"/>
              </w:rPr>
              <w:t xml:space="preserve">rezultāta rādītājs</w:t>
            </w:r>
            <w:r w:rsidR="00000000" w:rsidRPr="00000000" w:rsidDel="00000000">
              <w:rPr>
                <w:rtl w:val="0"/>
              </w:rPr>
              <w:t xml:space="preserve"> – personas, kuras pilnveidojušas savu profesionālo kompetenci – 2 603.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w:t>
            </w:r>
            <w:r w:rsidR="00000000" w:rsidRPr="00000000" w:rsidDel="00000000">
              <w:rPr>
                <w:rtl w:val="0"/>
              </w:rPr>
              <w:t xml:space="preserve">Sociālo pakalpojumu un sociālās palīdzības likuma (SPSP likums) 66.punkts paredz, ka:  "</w:t>
            </w:r>
            <w:r w:rsidR="00000000" w:rsidRPr="00000000" w:rsidDel="00000000">
              <w:rPr>
                <w:i w:val="1"/>
                <w:rtl w:val="0"/>
              </w:rPr>
              <w:t xml:space="preserve">Šā likuma 9. panta 1.1 daļas 9. punkts </w:t>
            </w:r>
            <w:r w:rsidR="00000000" w:rsidRPr="00000000" w:rsidDel="00000000">
              <w:rPr>
                <w:b w:val="1"/>
                <w:i w:val="1"/>
                <w:rtl w:val="0"/>
              </w:rPr>
              <w:t xml:space="preserve">stājas spēkā 2028. gada 1. janvārī. Līdz 2027. gada 31. decembrim pašvaldība ģimenes asistenta pakalpojumu var nodrošināt par saviem līdzekļiem</w:t>
            </w:r>
            <w:r w:rsidR="00000000" w:rsidRPr="00000000" w:rsidDel="00000000">
              <w:rPr>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(19.12.2024. likuma redakcijā, kas stājas spēkā 21.01.2025. 9. panta 1.1 daļas 9. punkts iekļauts likuma redakcijā uz 01.01.2028.)</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4.3.5.4. pasākuma ietvaros finansējums ģimenes asistentu mācībām profesionālās pilnveides izglītības programmā ģimenes asistentu sagatavošanai paredzēts indikatīvi 300 ģimenes asistentiem, nepaplašinot ģimenes asistentu loku, kas drīkst piedalīties mācībās, pastāv risks, ka plānotais projekta 1.1.3.  apakšdarbības “Profesionālās pilnveides izglītības programmas aktualizācija (licencēšana, ja attiecināms) un īstenošana personām, kuras nodrošina ģimenes asistenta pakalpojumu”  rezultāts netiks sasniegts, attiecīgi radot negatīvu ietekmi uz 4.3.5.4. pasākumā definētā iznākuma rādītāja (nodarbinātas personas, tostarp pašnodarbinātas personas – 3 099) un rezultāta rādītāja (personas, kuras pilnveidojušas savu profesionālo kompetenci – 2 603) sasniegšanu. Vienlaicīgi sasniegt projekta 1.1.3. apakšdarbībā plānoto rezultātu  (apmācītas 300 personas) ir nepieciešams, lai nodrošinātu pietiekamu profesionāli sagatavotu ģimenes asistentu skaitu šī pakalpojuma pieejamības un kvalitātes veicināšanai pašvaldībās visā Latvijas teritorijā, jo īpaši ņemot vērā, ka ģimenes asistenta pakalpojums ir viens no obligāti nodrošināmajiem pakalpojumiem pašvaldībās, sākot ar 2028. gada 1. janvāri (noteikts SPSP likuma Pārejas noteikumu 66. punktā) un jau šobrīd līdz 2027. gada 31. decembrim pašvaldība ģimenes asistenta pakalpojumu var nodrošināt par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"Problēmas apraksts" ar informāciju par to  - pēc kādiem kritērijiem tiek atlasītas pašvaldības, kuras piedalījās/ piedalīsies sociālo dienestu un bāriņtiesu darbinieku vasaras skolā . Atbilstoši anotācijā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2024. gadā izmēģinājuma projekta veidā valsts budžeta finansējuma ietvaros ierobežotam dalībnieku skaitam </w:t>
            </w:r>
            <w:r w:rsidR="00000000" w:rsidRPr="00000000" w:rsidDel="00000000">
              <w:rPr>
                <w:i w:val="1"/>
                <w:u w:val="single"/>
                <w:rtl w:val="0"/>
              </w:rPr>
              <w:t xml:space="preserve">tika īstenota pirmā vasaras skola </w:t>
            </w:r>
            <w:r w:rsidR="00000000" w:rsidRPr="00000000" w:rsidDel="00000000">
              <w:rPr>
                <w:i w:val="1"/>
                <w:rtl w:val="0"/>
              </w:rPr>
              <w:t xml:space="preserve">sociālo dienestu un bāriņtiesu darbiniekiem, kurā piedalījās 29 dalībnieki no 15 pašvaldībām." "Savukārt 2025. gada oktobra sākumā valsts budžeta ietvaros paredzēts īstenot vēl vienu šādu vasaras skolu indikatīvi 30 dalībniekiem no 15 pašvaldībām.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2021. gada 1. jūlija līdz 2025.gada pašvaldību vēlēšanām  Latvijā bija 43 pašvaldības – 36 novadu pašvaldības un septiņas valstspilsētu pašvaldības. Pēc 2025.gada pašvaldību vēlēšanām Latvijā ir 42 pašvaldības- 35 novadu pašvaldības un septiņas valstspilsētu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pirmajā vasaras skolā (2024.gadā) piedalījās </w:t>
            </w:r>
            <w:r w:rsidR="00000000" w:rsidRPr="00000000" w:rsidDel="00000000">
              <w:rPr>
                <w:rtl w:val="0"/>
              </w:rPr>
              <w:t xml:space="preserve">29  pašvaldības, kas ir apmēram 67.44% no 43. Savukārt 2025.gada oktobra "vasaras skolā" plānota dalība 15 pašvaldībām, kas ir apmēram 35.71% no 42. Lūdzam anotācijā skaidrot, vai dalībnieki šajās "vasaras skola" ir  "unikālas personas" un, vai no "unikālajām" pašvaldībām, vai tomēr dalībnieki nāk no tām pašām pašvaldībām, kas piedalījās gan 2024.gada vasaras skolā, gan 2025.gada vasaras skolā. Ja iespējams, lūdzam anotācijā aktualizēt/ konkretizēt arī informāciju par  vasaras skolu "2025. gada oktobra sākumā", ievērojot, ka šobrīd jau ir 2025.gada 6.oktobris.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 un 2025. gadā valsts budžeta ietvaros īstenotajās vasaras skolās kopumā piedalījās 58 dalībnieki (unikālās personas) no 29 pašvaldībām, bet 13 pašvaldību pārstāvji ne vienā no īstenotajām vasaras skolām nepiedalījās. Lai veicinātu sadarbību starp pašvaldību sociālajiem dienestiem un bāriņtiesām, informācija par iespēju pieteikties dalībai vasaras skolās tika nosūtīta visiem pašvaldību sociālajiem dienestiem un bāriņtiesām. Vasaras skolās tika aicināti pieteikties dalībnieki, no kuriem viens ir konkrētas pašvaldības sociālā dienesta sociālais darbinieks, kurš strādā ar ģimenēm ar bērniem, savukārt otrs dalībnieks ir pašvaldības bāriņtiesas darbinieks. 2025. gada vasaras skolā tika iekļauti dalībnieki, kuri nebija piedalījušies 2024. gada vasaras skolā un bija no pašvaldībām, kuras iepriekš organizētajā vasaras skolā netika pārstāvētas, izņemot Rīgas valstspilsētas pašvaldību, kas tika pārstāvēta abās vasaras skolās.  Turpmākajās vasaras skolās prioritāri būtu nepieciešams nodrošināt iespēju piedalīties to 13 pašvaldību pārstāvjiem, kuri līdz šim tajās nepiedalījās, kā arī, ņemot vērā to, ka vasaras skolu laikā tiek meklēti risinājumi dalībnieku – konkrētās pašvaldības bāriņtiesas un sociālā dienesta pārstāvju, savstarpējās sadarbības uzlabošanai, tad dalība vasaras skolās būtu nepieciešama arī citiem jau līdz šim pārstāvēto pašvaldību darbiniekiem, kuri šādā vasaras skolā vēl nav piedalījušies.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papildināto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sadaļu "Risinājumu apraksts" ar izvērstāku informāciju par minēto "</w:t>
            </w:r>
            <w:r w:rsidR="00000000" w:rsidRPr="00000000" w:rsidDel="00000000">
              <w:rPr>
                <w:i w:val="1"/>
                <w:rtl w:val="0"/>
              </w:rPr>
              <w:t xml:space="preserve">...LM šobrīd aktualizēšanas procesā esošo vienības izmaksu standarta likmes aprēķina un piemērošanas metodiku supervīzijai.</w:t>
            </w:r>
            <w:r w:rsidR="00000000" w:rsidRPr="00000000" w:rsidDel="00000000">
              <w:rPr>
                <w:rtl w:val="0"/>
              </w:rPr>
              <w:t xml:space="preserve">" T.i., skaidrojot, kāds ir tās (metodikas) šī brīža statuss un kad to plānots nosūtīt saskaņošanai vadošai iestādei, u.c. iestādēm,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Vienības izmaksu standarta likmes aprēķina un piemērošanas metodiku supervīzijas pakalpojuma izmaksām ir aktualizēta 02.10.2025. Šī metodika jau iepriekš ir saskaņota ar vadošo iestādi 2023. gadā, šobrīd ir veikta likmju aktualizācija atbilstoši tirgus izpētes datiem. Šādā gadījumā, kad veikta tikai likmju aktualizācija, saskaņā ar Vadlīnijām par vienkāršoto izmaksu izmantošanas iespējām un to piemērošana Eiropas Savienības kohēzijas politikas programmas 2021.–2027.gadam ietvaros, metodika atkārtoti ar vadošo iestādi nav jāskaņo. Aktualizētā metodika ir pieejama arī tīmekļvietnē: https://www.esfondi.lv/normativie-akti-un-dokumenti/2021-2027-planosanas-periods/vienibas-izmaksu-standarta-likmes-aprekina-un-piemerosanas-metodika-supervizijas-pakalpojuma-izmaksam.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sadaļas "Problēmas aparaksts" 3.punktu ar informāciju par vasaras skolas izmaksām (to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bāriņtiesas un sociālo dienestu specialistu apvienotās vasaras skolas tiks īstenotas 4.3.6.1. pasākuma projekta esošā finansējuma ietvaros. Šobrīd nav iespējams noteikt pat indikatīvo šo apvienoto vasaras skolu izmaksu apmēru, jo 4.3.6.1. pasākuma projektā ietvaros šobrīd tiek izstrādāta “Speciālistu un sabiedrības izpratnes un informētības paaugstināšanas pasākumu bērnu tiesību aizsardzības jautājumos stratēģija”, kurā tiks noteikts plānoto  speciālistu izpratnes paaugstināšanas pasākumu apjoms, tai skaitā cik no šiem pasākumiem ir īstenojami kā speciālistu vasaras skolas (tai skaitā apvienotās vasaras skolas) un kāds finansējuma apmērs vasaras skolām plānojams no kopējā izpratnes paaugstināšanas pasākumiem projektā paredzētā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"Risinājuma apraksts" 2. punktā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aprakstu ar atsauci uz noteikumu 18.4. apakšpunktu, jo ar šiem grozījumiem tiek veiktas izmaiņas arī 18.4. apakšpunktā, papildinot ar atsauci uz 3.4. apakšpunktā minēto mērķa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vārdus "iepirkuma līguma" aizstāt ar vārdiem "uzņēmuma līguma" atbilstoši noteikumu 26.9</w:t>
            </w:r>
            <w:r w:rsidR="00000000" w:rsidRPr="00000000" w:rsidDel="00000000">
              <w:rPr>
                <w:vertAlign w:val="superscript"/>
                <w:rtl w:val="0"/>
              </w:rPr>
              <w:t xml:space="preserve">1</w:t>
            </w:r>
            <w:r w:rsidR="00000000" w:rsidRPr="00000000" w:rsidDel="00000000">
              <w:rPr>
                <w:rtl w:val="0"/>
              </w:rPr>
              <w:t xml:space="preserve"> apakšpunktā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"Risinājuma apraksts" 1. punktā lūdzam aizstāt atsauci uz 19.2.8. apakšpunktu ar atsauci uz 19.2.6. apakšpunktu. Skaidrojam, ka izmaiņas 19.2.8. apakšpunktā ar šiem grozījumiem netiek veiktas.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Sadaļas "Problēmas apraksts"  1. punktā lūdzam aizstāt vārdus "pirmā cikla augstākā izglītība" ar "otrā līmeņa profesionālā augstākā vai akadēmiskā augstākā izglītība". Skaidrojam, ka atbilstoši Sociālo pakalpojumu un sociālās palīdzības likuma 17. panta trešajai daļai, "Par institūcijas, kas sniedz sociālos pakalpojumus vadītāju var būt persona, kurai ir otrā līmeņa profesionālā augstākā vai akadēmiskā augstākā izglītība". Papildus, ja attiecināms, aicinām veikt atbilstošus precizējumus arī noteikumu 3.2.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Augstskolu likuma 57.panta pirmo daļu un 59.panta pirmo daļu tiek lietoti vārdi “pirmā cikla augstākā izglītība”. Skaidrojam, ka 15.09.2022. tika pieņemti grozījumi Augstskolu likumā, kas definē augstskolās īstenojamās augstākās izglītības pakāpi ciklos, kas atbilst noteiktam Latvijas kvalifikāciju ietvarstruktūras līmenim. Sociālo pakalpojumu un sociālās palīdzības likuma 17.panta trešajā daļā šobrīd ir saglabājusies iepriekš lietotā terminoloģija “otrā līmeņa profesionālā augstākā vai akadēmiskā augstākā izglītība”, kas vairs neatbilst Augstskolu likuma aktuālajā redakcijā noteiktajam. Attiecīgi Noteikumu projektā tiek lietota terminoloģija, kas atbilst jaunākajā normatīvajā aktā noteiktajam augstākās izglītības iedalījumam. Informējam, ka šobrīd izstrādes procesā ir grozījumi Sociālo pakalpojumu un sociālās palīdzības likumā, kas tostarp paredz precizēt terminoloģiju šā likuma 17.panta trešajā daļā, saskaņojot to ar Augstskolu likumā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ietvert informāciju, vai būs nepieciešams veikt grozījumus vienošanās par projekta īstenošanu. Ja ierosinātajiem grozījumiem nav ietekmes uz noslēgto vienošanos par projekta īstenošanu, lūdzam ar šādu informāciju papildināt anotāciju, lai būtu pārliecība, ka grozījumu ietekmes izvērtējums ir veikts, un ir nodrošināta informācijas izsekojamība.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grozījumu projekts paredz svītrot no MK noteikumu 26.10. apakšpunkta atsauci uz Eiropas Savienības fondu 2021.–2027. gada plānošanas perioda un Atveseļošanas fonda komunikācijas un dizaina vadlīnijām, lūdzam papildināt anotāciju ar skaidrojumu, ka, neskatoties uz minētās atsauces svītrošanu, Eiropas Savienības fondu 2021.–2027. gada plānošanas perioda un Atveseļošanas fonda komunikācijas un dizaina vadlīnijas ir saistošas finansējuma saņēmējiem un tajās ietvertās prasības ir jāievēro saskaņā ar līguma/ vienošanās par projekta īstenošanu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un anotācijas 1.6.sadaļā "Cita informācija" sniegt skaidrojošu informāciju par to, vai ir plānota arī projekta gala saņēmēju informēšana par grozījumiem. Proti, vai un kādā veidā ir plānots informēt par izmaiņām Ministru kabineta noteikumos un projektā Nr. 4.3.5.4/1/24/I/001 "Profesionāla un mūsdienīga sociālā darba attīstība" pašvaldību sociālo dienesta darbiniekus, ģimenes asistentus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sociālie dienesti tiks informēti par izmaiņām 4.3.5.4. pasākuma īstenošanas nosacījumos un projektā Nr. 4.3.5.4/1/24/I/001 "Profesionāla un mūsdienīga sociālā darba attīstība" tuvākajā laikā pēc grozījumu pieņemšanas, kādā no informatīvajām sanāksmēm, ko Labklājības ministrija regulāri organizē pašvaldību sociālo dienestu darbiniekiem par aktualitātēm sociālā darba, sociālo pakalpojumu un sociālās palīdzības jomā. Sociālo pakalpojumu sniedzēji, kuri nodrošina ģimenes asistenta pakalpojumu, tiks informēti par izmaiņām 4.3.5.4. pasākuma īstenošanas nosacījumos un projektā Nr. 4.3.5.4/1/24/I/001 "Profesionāla un mūsdienīga sociālā darba attīstība", kas attiecas uz ģimenes asistentu mērķa grupas paplašināšanu iesaistei mācību programmā, pēc grozījumu stāšanās spēkā, izsludinot pieteikšanos dalībai ģimenes asistentu mācībās.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papildināto anotāciju.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šeit nebūtu norādāms noteikumu projekts "</w:t>
            </w:r>
            <w:r w:rsidR="00000000" w:rsidRPr="00000000" w:rsidDel="00000000">
              <w:rPr>
                <w:b w:val="1"/>
                <w:rtl w:val="0"/>
              </w:rPr>
              <w:t xml:space="preserve">Grozījumi Ministru kabineta 2023. gada 5. decembra noteikumos Nr. 724 </w:t>
            </w:r>
            <w:r w:rsidR="00000000" w:rsidRPr="00000000" w:rsidDel="00000000">
              <w:rPr>
                <w:rtl w:val="0"/>
              </w:rPr>
              <w:t xml:space="preserve">"Eiropas Savienības kohēzijas politikas programmas 2021.–2027. gadam 4.3.6. specifiskā atbalsta mērķa "Veicināt nabadzības vai sociālās atstumtības riskam pakļauto cilvēku, tostarp vistrūcīgāko un bērnu, sociālo integrāciju" </w:t>
            </w:r>
            <w:r w:rsidR="00000000" w:rsidRPr="00000000" w:rsidDel="00000000">
              <w:rPr>
                <w:b w:val="1"/>
                <w:rtl w:val="0"/>
              </w:rPr>
              <w:t xml:space="preserve">4.3.6.1. pasākuma</w:t>
            </w:r>
            <w:r w:rsidR="00000000" w:rsidRPr="00000000" w:rsidDel="00000000">
              <w:rPr>
                <w:rtl w:val="0"/>
              </w:rPr>
              <w:t xml:space="preserve"> "Speciālistu, kuru profesionālā darbība saistīta ar bērnu tiesību aizsardzības nodrošināšanu, profesionālās kvalifikācijas pilnveide un bērnu likumisko pārstāvju atbildības stiprināšana bērnu tiesību aizsardzības sistēmas reorganizācijas ietvaros" īstenošanas noteikumi""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19.2.4.1. var nodrošināt individuālo supervīziju klātienē vai attālināti, izmantojot tiešsaistes videosaziņas servisu, un grupas, komandas vai organizācijas supervīziju klātienē vai attālināti, izmantojot tiešsaistes videosaziņas servisu, ja valstī ir noteikti pulcēšanās ierobežojumi;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no noteikumu 19.2.4.1.apakšpunta nebūtu svītrojama piebilde "</w:t>
            </w:r>
            <w:r w:rsidR="00000000" w:rsidRPr="00000000" w:rsidDel="00000000">
              <w:rPr>
                <w:i w:val="1"/>
                <w:rtl w:val="0"/>
              </w:rPr>
              <w:t xml:space="preserve">ja valstī ir noteikti pulcēšanās ierobežojumi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19.2.4.1. apakšpunktā saglabājama piebilde "ja valstī ir noteikti pulcēšanās ierobežojumi", ņemot vērā to, ka, lai nodrošinātu supervīzijas kvalitāti, pamatā tā ir nodrošināma  klātienē. Savukārt attālināti, izmantojot tiešsaistes videosaziņas servisu, grupas, komandas vai organizācijas supervīzijas organizējamas tikai tad, ja valstī ir noteikti pulcēšanās ierobežojumi un klātienes supervīziju īstenošana nav iespējama.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Supervīzijas būtība ir sniegt konsultatīvu atbalstu jautājumos, kas saistīti ar darbu un profesionālo darbību. Tāpat supervīzijas mērķis ir profesionālā pilnveide, spēju un prasmju attīstība, kā arī refleksija par profesionālajām attiecībām (t.i., savas pieredzes izzināšana, analīze, pārvērtēšana, sakarību atpazīšana u.tml.). Savukārt supervīzijas ieguvumi ir savu nostāju, rīcības un emociju sapratne, atbildības robežu izpratne, labāka otra cilvēka (klienta) izpratne, jaunas idejas tālākai rīcībai, morāls atbalsts, profesionālās izdegšanas novēršana, ētikas ievērošana u.tml. Supervīzijas īstenošanā ļoti būtiskas ir emocionālā saikne un savstarpējā uzticībā balstītas attiecības starp supervizoru un supervīzijas dalībnieku. Minētais ir sarežģīti realizējams attālinātā formātā, t.i., izmantojot tiešsaistes videosaziņas servisu. Attālinātā formāta supervīzijām iztrūkst tiešs cilvēciskais kontakts, ko var sniegt klātienes komunikācija un saskarsme, tāpat ir grūtāk novērtēt supervīzijas dalībnieka emocionālo stāvokli, kas ir būtiski aspekts pie “izdegšanas” atpazīšanas. Jāatzīmē, ka supervīzijas īstenošana attālinātajā formātā tika ieviesta 2014. – 2020. gada ES fondu plānošanas periodā 9.2.1.1. pasākuma “Profesionāla sociālā darba attīstība pašvaldībās” ietvaros un par pamatu tam bija 2019. gadā Covid -19 pandēmijas izraisītā epidemioloģiskā situācija valstī un no tā izrietošie klātienes pulcēšanās ierobežojumi. Tādējādi tika nodrošināta supervīzijas nepārtrauktība laikā, kad supervīzija bija īpaši nepieciešama sociālā darba speciālistiem, jo nācās strādāt sarežģītos apstākļos ar palielinātu noslodzi un darba ikdiena bija ātri jāpielāgo mainīgiem ārējiem apstākļiem. Tāpat attālinātajā formātā, īpaši grupu supervīzijas norises laikā, ir sarežģīti fiksēt dalībnieku identitāti, jo mēdz būt situācijas, kad vairāki supervīzijas dalībnieki izmanto vienu datoru vai viedierīci. Minētais savukārt rada administratīvo slogu gan supervīzijas pakalpojuma sniedzējiem, gan finansējuma saņēmējam supervīzijas kompensācijas pieprasījuma pamatojošās dokumentācijas sagatavošanā un pārbaudē.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19.2.4.1. var nodrošināt individuālo supervīziju klātienē vai attālināti, izmantojot tiešsaistes videosaziņas servisu, un grupas, komandas vai organizācijas supervīziju klātienē vai attālināti, izmantojot tiešsaistes videosaziņas servisu, ja valstī ir noteikti pulcēšanās ierobežojumi;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19.2.4.</w:t>
            </w:r>
            <w:r w:rsidR="00000000" w:rsidRPr="00000000" w:rsidDel="00000000">
              <w:rPr>
                <w:vertAlign w:val="superscript"/>
                <w:rtl w:val="0"/>
              </w:rPr>
              <w:t xml:space="preserve">1</w:t>
            </w:r>
            <w:r w:rsidR="00000000" w:rsidRPr="00000000" w:rsidDel="00000000">
              <w:rPr>
                <w:rtl w:val="0"/>
              </w:rPr>
              <w:t xml:space="preserve">2. veicot atsevišķus iepirkumus, ir piesaistījusi  vienu un to pašu supervīzijas pakalpojuma sniedzēju;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19.2.4.</w:t>
            </w:r>
            <w:r w:rsidR="00000000" w:rsidRPr="00000000" w:rsidDel="00000000">
              <w:rPr>
                <w:vertAlign w:val="superscript"/>
                <w:rtl w:val="0"/>
              </w:rPr>
              <w:t xml:space="preserve">1</w:t>
            </w:r>
            <w:r w:rsidR="00000000" w:rsidRPr="00000000" w:rsidDel="00000000">
              <w:rPr>
                <w:rtl w:val="0"/>
              </w:rPr>
              <w:t xml:space="preserve">2. .apakšpunktu ar nosacījumu, ka supervīziju pakalpojumu izmaksas ir vienādas, lai nerastos situācija, ka vienā grupā supervīzijas notiek par dažādu samaksu, ņemot vērā, ka vienas vienības izmaksas var būt pārskatītas un līgumi noslēgti dažādā laika periodā.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skaidro, ka supervīziju izmaksu kompensēšanai piemēro vienības izmaksu metodiku, kas nosaka supervīzijas standarta likmes gan 4.3.5.4., gan 4.3.6.1. pasākumā. Attiecīgi LM un Bērnu aizsardzības centrs kā finansējuma saņēmēji pašvaldībām kompensē supervīzijas pakalpojuma izmaksas atbilstoši metodikā noteiktajām likmēm, kas abos projektos ir vienādas. Tas, kādas izmaksas pašvaldības sedz pakalpojuma sniedzējam ir atkarīgs no tirgus izpētes, ko pašvaldības veic supervīzijas pakalpojumu sniedzēju izvēlē. Attiecīgi ne no vienkāršoto izmaksu piemērošanas, ne pakalpojumu sniedzēju izvēles procedūras viedokļa nav iespējams noteikt, ka cenām jābūt vienādām.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19.2.4.</w:t>
            </w:r>
            <w:r w:rsidR="00000000" w:rsidRPr="00000000" w:rsidDel="00000000">
              <w:rPr>
                <w:vertAlign w:val="superscript"/>
                <w:rtl w:val="0"/>
              </w:rPr>
              <w:t xml:space="preserve">1</w:t>
            </w:r>
            <w:r w:rsidR="00000000" w:rsidRPr="00000000" w:rsidDel="00000000">
              <w:rPr>
                <w:rtl w:val="0"/>
              </w:rPr>
              <w:t xml:space="preserve">2. veicot atsevišķus iepirkumus, ir piesaistījusi  vienu un to pašu supervīzijas pakalpojuma sniedzēju;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19.2.6. sadarbībā ar supervīzijas pakalpojuma sniedzēju plāno supervīziju, tai skaitā komplektē grupu dalībai supervīzijā. Izmaksas, kas pašvaldībai radušās par supervīzijas pakalpojumu, ir attiecināmas, ja vienas grupas, komandas un organizācijas supervīzijas sesijā nepārsniedz 12 personas. Ja pašvaldība organizē šo noteikumu 19.2.4.</w:t>
            </w:r>
            <w:r w:rsidR="00000000" w:rsidRPr="00000000" w:rsidDel="00000000">
              <w:rPr>
                <w:vertAlign w:val="superscript"/>
                <w:rtl w:val="0"/>
              </w:rPr>
              <w:t xml:space="preserve">1</w:t>
            </w:r>
            <w:r w:rsidR="00000000" w:rsidRPr="00000000" w:rsidDel="00000000">
              <w:rPr>
                <w:rtl w:val="0"/>
              </w:rPr>
              <w:t xml:space="preserve"> apakšpunktā minētās apvienotās grupu un komandu supervīzijas, 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nosacījumu, ka grupas minimālais dalībnieku skaits ir trīs dalībnieki (supervizors un vairāk nekā trīs supervizējamie) - atbilstoši Anotācijā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1.3. sadaļas “Pašreizējā situācija, problēmas un risinājumi” apakšsadaļa “Problēmas apraksts”, svītrojot informāciju par trīs supervīzijas dalībniekiem grupas supervīzijā. Informācija iepriekš tika minēta, jo tāda ir ietverta grupu supervīzijas definīcijā no Sociālā darba vārdnīcas. Taču tas nebija domāts kā jauns parametrs supervīzijas nodrošināšanai 4.3.5.4. pasākumā. Šāds parametrs nav izmantots arī supervīzijas likmju noteikšanai tirgus izpētē, attiecīgi nav pamata šobrīd izvirzīt jaunu nosacījumu, ka grupas minimālais dalībnieku skaits ir trīs dalībnieki. Anotācijā saglabāta tikai informācijas par grupu supervīzijas mērķi.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19.2.6. sadarbībā ar supervīzijas pakalpojuma sniedzēju plāno supervīziju, tai skaitā komplektē grupu dalībai supervīzijā. Izmaksas, kas pašvaldībai radušās par supervīzijas pakalpojumu, ir attiecināmas, ja vienas grupas, komandas un organizācijas supervīzijas sesijā nepārsniedz 12 personas. Ja pašvaldība organizē šo noteikumu 19.2.4.</w:t>
            </w:r>
            <w:r w:rsidR="00000000" w:rsidRPr="00000000" w:rsidDel="00000000">
              <w:rPr>
                <w:vertAlign w:val="superscript"/>
                <w:rtl w:val="0"/>
              </w:rPr>
              <w:t xml:space="preserve">1</w:t>
            </w:r>
            <w:r w:rsidR="00000000" w:rsidRPr="00000000" w:rsidDel="00000000">
              <w:rPr>
                <w:rtl w:val="0"/>
              </w:rPr>
              <w:t xml:space="preserve"> apakšpunktā minētās apvienotās grupu un komandu supervīzijas, 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w:t>
            </w:r>
            <w:r w:rsidR="00000000" w:rsidRPr="00000000" w:rsidDel="00000000">
              <w:rPr>
                <w:vertAlign w:val="superscript"/>
                <w:rtl w:val="0"/>
              </w:rPr>
              <w:t xml:space="preserve">1</w:t>
            </w:r>
            <w:r w:rsidR="00000000" w:rsidRPr="00000000" w:rsidDel="00000000">
              <w:rPr>
                <w:rtl w:val="0"/>
              </w:rPr>
              <w:t xml:space="preserve"> nodrošina, ka projekta īstenošanas laikā atbilstoši Eiropas Parlamenta un Padomes 2024. gada 23. septembra Regulas (ES, Euratom) 2024/2509 par finanšu noteikumiem, ko piemēro Savienības vispārējam budžetam (pārstrādāta redakcija), 61. pantu un publisko iepirkumu regulējošiem normatīvajiem aktiem tiek ievēroti interešu konflikta, korupcijas un krāpšanas novēršanas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noteikumu 26.1.</w:t>
            </w:r>
            <w:r w:rsidR="00000000" w:rsidRPr="00000000" w:rsidDel="00000000">
              <w:rPr>
                <w:vertAlign w:val="superscript"/>
                <w:rtl w:val="0"/>
              </w:rPr>
              <w:t xml:space="preserve">1</w:t>
            </w:r>
            <w:r w:rsidR="00000000" w:rsidRPr="00000000" w:rsidDel="00000000">
              <w:rPr>
                <w:rtl w:val="0"/>
              </w:rPr>
              <w:t xml:space="preserve"> apakšpunktā iekļaut atsauci uz Eiropas Parlamenta un Padomes 2024. gada 23. septembra Regulas (ES, Euratom) 2024/2509 par finanšu noteikumiem, ko piemēro Savienības vispārējam budžetam (pārstrādātā redakcija)( turpmāk - Finanšu regula) 61.pantu, ņemot vērā konkrētā specifiskā atbalsta mērķa projekta veidu, kā arī to, ka  Finanšu regulas 61.panta prasības ir tieši attiecināmas uz tādiem projektiem, kas saistīti ar Eiropas Savienības (ES) fondu atbalsta saņemšanu un vienlaikus kuros atbilstoši specifiskā atbalsta mērķim finansējuma saņēmējs atlases kārtībā ES fondu dalībniekiem vai gala saņēmējiem sniedz finansiālu atbalstu (t.s. daudzpakāpju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LM ir izvērtējusi nepieciešamību noteikumu 26.1.1 apakšpunktā iekļaut atsauci uz Eiropas Parlamenta un Padomes 2024. gada 23. septembra Regulas (ES, Euratom) 2024/2509 par finanšu noteikumiem, ko piemēro Savienības vispārējam budžetam (pārstrādātā redakcija)( turpmāk - Finanšu regula) 61.pantu un secina, ka atsauce uz Finanšu regulu ir saglabājama, ņemot vērā, ka šis projekts ir uzskatāms par daudzpakāpju projektu (tā ietvaros finansējuma saņēmējs sniedz de minimis atbalstu MK noteikumu Nr. 751 3. punktā minētajām fiziskajām un juridiskajām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w:t>
            </w:r>
            <w:r w:rsidR="00000000" w:rsidRPr="00000000" w:rsidDel="00000000">
              <w:rPr>
                <w:vertAlign w:val="superscript"/>
                <w:rtl w:val="0"/>
              </w:rPr>
              <w:t xml:space="preserve">1</w:t>
            </w:r>
            <w:r w:rsidR="00000000" w:rsidRPr="00000000" w:rsidDel="00000000">
              <w:rPr>
                <w:rtl w:val="0"/>
              </w:rPr>
              <w:t xml:space="preserve"> nodrošina, ka projekta īstenošanas laikā atbilstoši Eiropas Parlamenta un Padomes 2024. gada 23. septembra Regulas (ES, Euratom) 2024/2509 par finanšu noteikumiem, ko piemēro Savienības vispārējam budžetam (pārstrādāta redakcija), 61. pantu un publisko iepirkumu regulējošiem normatīvajiem aktiem tiek ievēroti interešu konflikta, korupcijas un krāpšanas novēršanas nosacījumi;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uzkrāj, uzskaita un iesniedz sadarbības iestādē informāciju par atbalstu saņēmušām šo noteikumu </w:t>
            </w:r>
            <w:r w:rsidR="00000000" w:rsidRPr="00000000" w:rsidDel="00000000">
              <w:rPr>
                <w:rtl w:val="0"/>
              </w:rPr>
              <w:t xml:space="preserve">3.1.</w:t>
            </w:r>
            <w:r w:rsidR="00000000" w:rsidRPr="00000000" w:rsidDel="00000000">
              <w:rPr>
                <w:rtl w:val="0"/>
              </w:rPr>
              <w:t xml:space="preserve"> apakšpunktā minētajām mērķa grupas personām atbilstoši Eiropas Parlamenta un Padomes 2021. gada 24. jūnija Regulas (ES) 2021/1057, ar ko izveido Eiropas Sociālo fondu Plus (ESF+) un atceļ Regulu (ES) Nr. 1296/2013, 1. pielikumam un Ministru kabineta 2023. gada 21. marta noteikumu Nr. 135 "Eiropas Savienības fondu projektu pārbaužu veikšanas kārtība 2021.–2027. gada plānošanas periodā" 1. pielikumam;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atsauci uz noteikumu 3.4. apakšpunktā minēto mērķa grupu - personām, kuras nodrošina ģimenes asistenta pakalpojumu. Šī mērķa grupa iepriekš bija iekļauta 3.1. apakšpunktā, bet ar grozījumiem tiek izdalīta atsevišķi 3.4. 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 uzkrāj, uzskaita un iesniedz sadarbības iestādē informāciju par atbalstu saņēmušām šo noteikumu </w:t>
            </w:r>
            <w:r w:rsidR="00000000" w:rsidRPr="00000000" w:rsidDel="00000000">
              <w:rPr>
                <w:rtl w:val="0"/>
              </w:rPr>
              <w:t xml:space="preserve">3.1.</w:t>
            </w:r>
            <w:r w:rsidR="00000000" w:rsidRPr="00000000" w:rsidDel="00000000">
              <w:rPr>
                <w:rtl w:val="0"/>
              </w:rPr>
              <w:t xml:space="preserve"> un 3.4. apakšpunktā minētajām mērķa grupas personām atbilstoši Eiropas Parlamenta un Padomes 2021. gada 24. jūnija Regulas (ES) 2021/1057, ar ko izveido Eiropas Sociālo fondu Plus (ESF+) un atceļ Regulu (ES) Nr. 1296/2013, 1. pielikumam un Ministru kabineta 2023. gada 21. marta noteikumu Nr. 135 "Eiropas Savienības fondu projektu pārbaužu veikšanas kārtība 2021.–2027. gada plānošanas periodā" 1. pielikumam;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25-TA-2260</w:t>
    </w:r>
    <w:r>
      <w:br/>
    </w:r>
    <w:r w:rsidR="00000000" w:rsidRPr="00000000" w:rsidDel="00000000">
      <w:rPr>
        <w:rtl w:val="0"/>
      </w:rPr>
      <w:t xml:space="preserve">14.10.2025. 20.08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25-TA-2260</w:t>
    </w:r>
    <w:r>
      <w:br/>
    </w:r>
    <w:r w:rsidR="00000000" w:rsidRPr="00000000" w:rsidDel="00000000">
      <w:rPr>
        <w:rtl w:val="0"/>
      </w:rPr>
      <w:t xml:space="preserve">14.10.2025. 20.08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Izziņa_25-TA-2260.docx</dc:title>
</cp:coreProperties>
</file>

<file path=docProps/custom.xml><?xml version="1.0" encoding="utf-8"?>
<Properties xmlns="http://schemas.openxmlformats.org/officeDocument/2006/custom-properties" xmlns:vt="http://schemas.openxmlformats.org/officeDocument/2006/docPropsVTypes"/>
</file>