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21-TA-343: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2016. gada 12. aprīļa noteikumos Nr. 211 "Būvkomersantu klasifikācijas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- 11.01.2022.)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1.3.sadaļā “Pašreizējā situācija, problēmas un risinājumi”, atsaucoties uz Būvniecības likuma 23.panta pirmās daļas un Publisko iepirkumu likuma 1.panta 24.punktu, secināts, ka normatīvie akti nosaka par pienākumu saņemt klasifikācijas dokumentu tam būvkomersantam, kurš sniedz piedāvājumu būvdarbu iepirkumā. Tāpat minēts, ka gadījumā, ja būvkomersants netiek klasificēts, tas vienlaikus nozīmē arī aizliegumu turpmāk piedalīties publiskos būvdarbu iepirkumos.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Paskaidrojam, ka fakts, ka būvkomersants nav ieguvis klasifikācijas dokumentu uz piedāvājuma iesniegšanas brīdi neaprobežo tā iespējas piedalīties iepirkumā un iesniegt tajā piedāvājumu.  Būvkomersantam ir pienākums iegūt klasifikācijas dokumentu līdz iepirkuma līguma noslēgšanai.</w:t>
            </w:r>
            <w:r w:rsidR="00000000" w:rsidRPr="00000000" w:rsidDel="00000000">
              <w:rPr>
                <w:rtl w:val="0"/>
              </w:rPr>
              <w:t xml:space="preserve"> Līdz ar to nav korekti vairākkārt minētie secinājumi, ka normatīvie akti nosaka par pienākumu saņemt klasifikācijas dokumentu tam būvkomersantam, kurš sniedz piedāvājumu būvdarbu iepirkumā un ka gadījumā, ja būvkomersants netiek klasificēts, tas vienlaikus nozīmē arī aizliegumu turpmāk piedalīties publiskos būvdarbu iepirkumos. Savukārt vairākkārt lietotā formulējuma “šādi būvkomersanti pašlaik nevar saņemt klasifikācijas klasi un piedalīties publiskos iepirkumos” vietā atbilstošāk būtu lietot, piemēram, formulējumu “šādi būvkomersanti pašlaik nevar saņemt klasifikācijas klasi un slēgt publisku būvdarbu līgumu”.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pārskatīt un precizēt attiecīgo anotācijas sadaļu.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- 24.02.2022.)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Paskaidrojam, ka konkrēti tikai no Būvniecības likuma 23.panta pirmās daļas izriet ierobežojums attiecībā uz publisku būvdarbu līgumu slēgšanu gadījumā, kad attiecīgais būvkomersants nav saņēmis klasifikācijas dokumentu, nevis no anotācijā minētā Publisko iepirkumu likuma 1.panta  24.punkta. Turklāt ir jāņem vērā, ka Būvniecības likuma 23.panta pirmās daļas regulējuma tvērums neaptver potenciāli jebkuru publisku būvdarbu līgumu, kas tiek slēgts publiskā iepirkuma rezultātā, bet gan konkrēti tādus publiskus būvdarbu līgumu, kas pilnībā vai daļēji tiek finansēti no publisko tiesību juridiskās personas līdzekļiem, Eiropas Savienības politiku instrumentu vai citas ārvalstu finanšu palīdzības līdzekļiem.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un lai nodrošinātu, ka anotācijā ietverti korekti apgalvojumi, lūdzam veikt šādus precizējumus anotācijas 1.3.sadaļā: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anotācijas 1.3.sadaļas pirmajā rindkopā svītrot otro teikumu, bet trešo teikumu izteikt šādā redkacijā: "Līdz ar to minētais regulējums nosaka par pienākumu saņemt klasifikācijas dokumentu Būvniecības likuma 23.panta pirmajā daļā minētā publiska būvdarbu līguma noslēgšanai būvdarbu iepirkumā.";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precizēt vairākkārt lietoto vārdu savienojumu "aizliegums turpmāk slēgt publisku būvdarbu līgumu publiskos būvdarbu iepirkumos", tā vietā atkarībā no konteksta/gramtiskās formas lietojot vārdu savienojumu "ierobežota iespēja turpmāk slēgt publiskus būvdarbu līgumus publiskos būvdarbu iepirkumos".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36.2.7. piespiedu ietekmēšanas līdzekli, kas piemērots par šo noteikumu </w:t>
            </w:r>
            <w:r w:rsidR="00000000" w:rsidRPr="00000000" w:rsidDel="00000000">
              <w:rPr>
                <w:rtl w:val="0"/>
              </w:rPr>
              <w:t xml:space="preserve">3.</w:t>
            </w:r>
            <w:r w:rsidR="00000000" w:rsidRPr="00000000" w:rsidDel="00000000">
              <w:rPr>
                <w:rtl w:val="0"/>
              </w:rPr>
              <w:t xml:space="preserve"> pielikumā minēto Krimināllikuma normu pārkāpumu par 36 mēnešu periodu vai par citu likumu normu pārkāpumu par 12 mēnešu periodu pirms lēmuma pieņemšanas par klasifikāciju. Ja Sodu reģistra dati liecina par šo noteikumu </w:t>
            </w:r>
            <w:r w:rsidR="00000000" w:rsidRPr="00000000" w:rsidDel="00000000">
              <w:rPr>
                <w:rtl w:val="0"/>
              </w:rPr>
              <w:t xml:space="preserve">3.</w:t>
            </w:r>
            <w:r w:rsidR="00000000" w:rsidRPr="00000000" w:rsidDel="00000000">
              <w:rPr>
                <w:rtl w:val="0"/>
              </w:rPr>
              <w:t xml:space="preserve"> pielikumā minēto Krimināllikuma normu pārkāpumu vai par citu likumu normu pārkāpumu darba tiesisko attiecību jomā, piemēro korekciju 0,5 punktu apmērā. Par pārējo šo noteikumu </w:t>
            </w:r>
            <w:r w:rsidR="00000000" w:rsidRPr="00000000" w:rsidDel="00000000">
              <w:rPr>
                <w:rtl w:val="0"/>
              </w:rPr>
              <w:t xml:space="preserve">3.</w:t>
            </w:r>
            <w:r w:rsidR="00000000" w:rsidRPr="00000000" w:rsidDel="00000000">
              <w:rPr>
                <w:rtl w:val="0"/>
              </w:rPr>
              <w:t xml:space="preserve"> pielikumā minēto citu likumu normu pārkāpumu piemēro korekciju 0,1 punkta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- 10.01.2022.)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piedāvātajā 36.2.7.apakšpunkta otrā teikuma redakcijā tiek lietota vārdkopa "par citu likumu normu pārkāpumu darba tiesisko attiecību jomā", kuras būtība nav saprotama. Proti, nav saprotams, kurā no šo noteikumu 3.pielikumā minētajiem likumiem paredzētie administratīvie pārkāpumi ir uzskatāmi par pārkāpumiem darba tiesisko attiecību jomā - vai tikai Darba likumā paredzētie administratīvie pārkāpumi, vai arī citos šo noteikumu 3.pielikumā minētajos likumos paredzētie administratīvie pārkāpumi. Vēršam uzmanību, ka formāli jebkurš pārkāpums, kuru būvuzņēmums ir izdarījis, pārkāpjot tam ārējos normatīvajos aktos kā darba devējam noteiktās prasības, var tikt uzskatīts par pārkāpumu darba tiesisko attiecību jomā, piemēram, Darba aizsardzības likumā noteikto darba aizsardzības prasību pārkāpums, Ugunsdrošības un ugunsdzēsības likumā noteikto ugunsdrošības prasību pārkāpums u.c.</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nepieciešams attiecīgi precizēt projektā piedāvāto 36.2.7.apakšpunkta otrā teikuma redakciju, vai arī projekta sākotnējās ietekmes novērtējuma ziņojumā (anotācijā) skaidrot termina "pārkāpumi darba tiesisko attiecību jomā" tvērumu.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36.2.7. "36.2.7. piespiedu ietekmēšanas līdzekli, kas piemērots par šo noteikumu 3. pielikumā minēto Krimināllikuma normu pārkāpumu par 36 mēnešu periodu vai par citu likumu normu pārkāpumu par 12 mēnešu periodu pirms lēmuma pieņemšanas par klasifikāciju. Ja Sodu reģistra dati liecina par šo noteikumu 3. pielikumā minēto Krimināllikuma vai Darba likuma normu pārkāpumu  darba tiesisko attiecību jomā, piemēro korekciju 0,5 punktu apmērā. Par pārējo šo noteikumu 3. pielikumā minēto citu likumu normu pārkāpumu piemēro korekciju 0,1 punkta apmērā;"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Grozījums Ministru kabineta 2016. gada 12. aprīļa noteikumos Nr. 211 "Būvkomersantu klasifikācijas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ar projektu tiek paredzēts veikt vairākus grozījumus  Ministru kabineta 2016. gada 12. aprīļa noteikumos Nr. 211 "Būvkomersantu klasifikācijas noteikumi", lūdzam projekta nosaukumu izteikt daudzskaitlī.</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Grozījumi </w:t>
            </w:r>
            <w:r w:rsidR="00000000" w:rsidRPr="00000000" w:rsidDel="00000000">
              <w:rPr>
                <w:rtl w:val="0"/>
              </w:rPr>
              <w:t xml:space="preserve">Ministru kabineta 2016. gada 12. aprīļa noteikumos Nr. 211 "Būvkomersantu klasifikācijas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nosaukums.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Izdarīt Ministru kabineta 2016. gada 12. aprīļa noteikumos Nr. 211 "Būvkomersantu klasifikācijas noteikumi" (Latvijas Vēstnesis, 2016, 73., 246. nr.; 2017, 91. nr.; 2018, 89. nr.) šādu grozījumu: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aizstāt 1.punktā vārdus "šādu grozījumu" ar vārdiem "šādus grozījumus"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Izdarīt Ministru kabineta 2016. gada 12. aprīļa noteikumos Nr. 211 "Būvkomersantu klasifikācijas noteikumi" (Latvijas Vēstnesis, 2016, 73., 246. nr.; 2017, 91. nr.; 2018, 89. nr.) </w:t>
            </w:r>
            <w:r w:rsidR="00000000" w:rsidRPr="00000000" w:rsidDel="00000000">
              <w:rPr>
                <w:u w:val="single"/>
                <w:rtl w:val="0"/>
              </w:rPr>
              <w:t xml:space="preserve">šādus grozījumus: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Precizes 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"Izdarīt Ministru kabineta 2016. gada 12. aprīļa noteikumos Nr. 211 "Būvkomersantu klasifikācijas noteikumi" (Latvijas Vēstnesis, 2016, 73., 246. nr.; 2017, 91. nr.; 2018, 89. nr.) šādus grozījumus:"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- 10.01.2022.)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 ir izvērtējusi Ekonomikas ministrijas izstrādātos grozījumus Ministru kabineta 2016. gada 12. aprīļa noteikumos Nr. 211 "Būvkomersantu klasifikācijas noteikumi" (turpmāk - Noteikumu projekts) un atbalsta to virzību, izsakot šādu priekšlikumu.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Būvkomersantu klasifikācijas noteikumu 3. pielikumā ir uzskaitīti būvkomersantu klasifikācijas vajadzībām Sodu reģistrā pārbaudāmie noziedzīgie nodarījumi. Atbilstoši Noteikumu projekta anotācijai Būvkomersantu klasifikācijas noteikumu 3. pielikums tiek precizēts atbilstoši 2021. gada 2. februāra likumam "Grozījumi Krimināllikumā", labojot 3. pielikuma 22. 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Vēlamies vērst uzmanību, ka 2021. gadā papildus grozījumiem Krimināllikuma 229. pantā Krimināllikums ir papildināts arī ar šādiem noziedzīgiem nodarījumiem: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Faktiski nenotikuša darījuma uzrādīšana pievienotās vērtības nodokļa deklarācijā (Krimināllikuma 218.</w:t>
            </w:r>
            <w:r w:rsidR="00000000" w:rsidRPr="00000000" w:rsidDel="00000000">
              <w:rPr>
                <w:vertAlign w:val="superscript"/>
                <w:rtl w:val="0"/>
              </w:rPr>
              <w:t xml:space="preserve">1</w:t>
            </w:r>
            <w:r w:rsidR="00000000" w:rsidRPr="00000000" w:rsidDel="00000000">
              <w:rPr>
                <w:rtl w:val="0"/>
              </w:rPr>
              <w:t xml:space="preserve"> 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Nelikumīgas darbības ar senlietām (Krimināllikuma 229.</w:t>
            </w:r>
            <w:r w:rsidR="00000000" w:rsidRPr="00000000" w:rsidDel="00000000">
              <w:rPr>
                <w:vertAlign w:val="superscript"/>
                <w:rtl w:val="0"/>
              </w:rPr>
              <w:t xml:space="preserve">1</w:t>
            </w:r>
            <w:r w:rsidR="00000000" w:rsidRPr="00000000" w:rsidDel="00000000">
              <w:rPr>
                <w:rtl w:val="0"/>
              </w:rPr>
              <w:t xml:space="preserve"> 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Personas atbrīvošana no kriminālatbildības par senlietu nelikumīgu iegūšanu, glabāšanu, pārvietošanu un pārsūtīšanu (Krimināllikuma 229.</w:t>
            </w:r>
            <w:r w:rsidR="00000000" w:rsidRPr="00000000" w:rsidDel="00000000">
              <w:rPr>
                <w:vertAlign w:val="superscript"/>
                <w:rtl w:val="0"/>
              </w:rPr>
              <w:t xml:space="preserve">2</w:t>
            </w:r>
            <w:r w:rsidR="00000000" w:rsidRPr="00000000" w:rsidDel="00000000">
              <w:rPr>
                <w:rtl w:val="0"/>
              </w:rPr>
              <w:t xml:space="preserve"> 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Viltota sadarbspējīga sertifikāta iegūšana un glabāšana (Krimināllikuma 275.</w:t>
            </w:r>
            <w:r w:rsidR="00000000" w:rsidRPr="00000000" w:rsidDel="00000000">
              <w:rPr>
                <w:vertAlign w:val="superscript"/>
                <w:rtl w:val="0"/>
              </w:rPr>
              <w:t xml:space="preserve">2</w:t>
            </w:r>
            <w:r w:rsidR="00000000" w:rsidRPr="00000000" w:rsidDel="00000000">
              <w:rPr>
                <w:rtl w:val="0"/>
              </w:rPr>
              <w:t xml:space="preserve"> 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Viltota sadarbspējīga sertifikāta ieguvēja, glabātāja un izmantotāja atbrīvošana no kriminālatbildības (Krimināllikuma 275.</w:t>
            </w:r>
            <w:r w:rsidR="00000000" w:rsidRPr="00000000" w:rsidDel="00000000">
              <w:rPr>
                <w:vertAlign w:val="superscript"/>
                <w:rtl w:val="0"/>
              </w:rPr>
              <w:t xml:space="preserve">3</w:t>
            </w:r>
            <w:r w:rsidR="00000000" w:rsidRPr="00000000" w:rsidDel="00000000">
              <w:rPr>
                <w:rtl w:val="0"/>
              </w:rPr>
              <w:t xml:space="preserve"> 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Neatļautas darbības ar arhīvu dokumentiem (Krimināllikuma 277. 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Tieslietu ministrija nav kompetenta noteikt izvirzāmās prasības būvkomersantu klasifikācijas jautājumos, aicinām Ekonomikas ministriju izvērtēt, vai par iepriekš minētajiem noziedzīgajiem nodarījumiem būtu nepieciešams pārbaudīt būvkomersantu klasifikāciju.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Minētās normas nav attiecināmas uz būvkomersantu klasifikāciju, līdz ar to nav nepieciešams papildināt noteikumu projektu.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netiek uzturēts Tieslietu ministrijas 23.03.2022. atzinumā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izteikt projekta nosaukumu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"Grozījumi</w:t>
            </w:r>
            <w:r w:rsidR="00000000" w:rsidRPr="00000000" w:rsidDel="00000000">
              <w:rPr>
                <w:rtl w:val="0"/>
              </w:rPr>
              <w:t xml:space="preserve"> Ministru kabineta 2016. gada 12. aprīļa noteikumos Nr. 211 "Būvkomersantu klasifikācijas noteikumi"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"Grozījumi Ministru kabineta 2016. gada 12. aprīļa noteikumos Nr. 211 "Būvkomersantu klasifikācijas noteikumi"" sākotnējās ietekmes (ex-ante) novērtējuma ziņojums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tiesisko skaidrību, lūdzam skaidrot kā tieši ar minētajiem grozījumiem tiks sasniegts anotācijā noteiktais mērķis - "uzlabot būvkomersantu klasifikācijas sistēmu un atvieglot būvkomersantu klasifikācijas klases saņemšanu mazajiem un vidējiem būvkomersantiem un būvkomersantiem, kuri nenodarbina būvspeciālistus".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minēts, ka būvkomersanta kvalifikācijas klasi būs iespējams saņemt arī būvkomersantiem, kas iepriekšējos gados nav nodarbinājuši būvspeciālistus.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netiek uzturēts Finanšu ministrijas 25.03.2022. atzinumā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anotācijā nav skaidrots, kādēļ ar grozījumiem tiek dzēsti visi punkti, kas saistīti ar iepriekš Noteikumos noteikto, proti, ka “</w:t>
            </w:r>
            <w:r w:rsidR="00000000" w:rsidRPr="00000000" w:rsidDel="00000000">
              <w:rPr>
                <w:i w:val="1"/>
                <w:rtl w:val="0"/>
              </w:rPr>
              <w:t xml:space="preserve">klasifikācijas iestāde atzīst būvuzņēmuma pieredzi konkrētās darbības sfērās būvdarbu veikšanā būvju grupās un būvju veidos atbilstoši noteikumu 1.pielikumam un būvdarbu žurnālā fiksētajam darbu veidam</w:t>
            </w:r>
            <w:r w:rsidR="00000000" w:rsidRPr="00000000" w:rsidDel="00000000">
              <w:rPr>
                <w:rtl w:val="0"/>
              </w:rPr>
              <w:t xml:space="preserve">” (spēkā esošo noteikumu 9., 11., 25.7., 31., 32.3.punkts u.c. + 1.pielikums).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nav skaidrots kādēļ tiek dzēsts Noteikumu 27.3.punkts, kādēļ pagarina pagaidu lēmumu spēkā esamību (40.punkts), kādēļ džeš 52.3.punktu.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tiesisko skaidrību par grozījumu nepieciešamību esošajā redakcijā, lūdzam anotācijā iekļaut detalizētāku skaidrojumu  par punktiem, kas tiek dzēsti no spēkā esošajiem Noteikumiem un pamatot 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1.3. 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Noteikumu projektā ir paredzēts izslēgt tās būvkomersantu klasifikācijas daļas, kas attiecās uz būvkomersantu klasifikācijas piemērošanu publiskajos iepirkumos, ņemot vērā, ka šāda prasība no Publisko iepirkumu likuma, Sabiedrisko pakalpojumu sniedzēju iepirkumu likuma un Publiskās un Privātās partnerības likuma tika izslēgta ar 01.05.2020. grozījumiem šajos likumos."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spēkā stāšanās termiņu atbilstoši faktiskajai situācijai.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Norādītais spēkā stāšanās termiņš atbilst faktiskajai situācijai.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Klasifikācijas iestāde no Iekšlietu ministrijas Informācijas centra uzturētā Sodu reģistra (turpmāk – Sodu reģistrs) elektroniski iegūst informāciju par būvuzņēmuma atbilstību šo noteikumu </w:t>
            </w:r>
            <w:r w:rsidR="00000000" w:rsidRPr="00000000" w:rsidDel="00000000">
              <w:rPr>
                <w:rtl w:val="0"/>
              </w:rPr>
              <w:t xml:space="preserve">36.2.</w:t>
            </w:r>
            <w:r w:rsidR="00000000" w:rsidRPr="00000000" w:rsidDel="00000000">
              <w:rPr>
                <w:rtl w:val="0"/>
              </w:rPr>
              <w:t xml:space="preserve"> apakšpunktā minētajām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- 10.01.2022.)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spēkā esošo Ministru kabineta 2016.gada 12.aprīļa noteikumu Nr.211 "Būvkomersantu klasifikācijas noteikumi" 6.punkta regulējumam Būvniecības valsts kontroles birojs attiecīgu informāciju no Sodu reģistra iegūst elektroniski. Vēršam uzmanību, ka atbilstoši Sodu reģistra likuma 21.panta pirmās daļas regulējumam Sodu reģistrā iekļautās ziņas sniedz, izmantojot datu pārraidi tiešsaistes režīmā vai citus elektronisko sakaru līdzekļus, ja ziņu saņēmēju identificē, vai arī rakstveidā (vēstule vai izziņa). Savukārt 2021.gada 22.decembrī Saeimā 1.lasījumā pieņemtajā likumprojektā "Grozījumi Sodu reģistra likumā" (Nr.1229/Lp13) ietvertie grozījumi Sodu reģistra likuma 21.panta pirmajā daļā paredz, ka Sodu reģistrā iekļautās ziņas sniedz izziņas veidā vai tiešsaistes datu pārraides režīmā, ja tiek identificēts ziņu pieprasītājs.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aicinām papildināt projektu ar jaunu punktu, paredzot attiecīgu grozījumu izdarīšanu arī Ministru kabineta 2016.gada 12.aprīļa noteikumu Nr.211 "Būvkomersantu klasifikācijas noteikumi" 6.punktā, tādējādi nodrošinot, ka šajos Ministru kabineta noteikumos lietotā terminoloģija attiecībā uz ziņu sniegšanas veidu atbilst Sodu reģistra likumā lietotajai terminoloģijai.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Klasifikācijas iestāde no Iekšlietu ministrijas Informācijas centra uzturētās valsts informācijas sistēmas "Sodu reģistrs" (turpmāk – Sodu reģistrs) tiešsaistes datu pārraides režīmā iegūst informāciju par būvuzņēmuma atbilstību šo noteikumu 36.2. apakšpunktā minētajām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"Klasifikācijas iestāde no Iekšlietu ministrijas Informācijas centra uzturētās valsts informācijas sistēmas "Sodu reģistrs" (turpmāk – Sodu reģistrs) tiešsaistes datu pārraides režīmā iegūst informāciju par būvuzņēmuma atbilstību šo noteikumu 36.2. apakšpunktā minētajām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"Klasifikācijas iestāde no Iekšlietu ministrijas Informācijas centra uzturētās valsts informācijas sistēmas "Sodu reģistrs" (turpmāk – Sodu reģistrs) tiešsaistes datu pārraides režīmā iegūst informāciju par būvuzņēmuma atbilstību šo noteikumu 36.2. apakšpunktā minētajām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- 24.02.2022.)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2016. gada 12. aprīļa noteikumu Nr. 211 "Būvkomersantu klasifikācijas noteikumi" 36.2.apakšpunkts paredz, ka viens no ilgtspējas rādītāju vērtēšanas kritērijiem ir labas uzņēmējdarbības prakses principu ievērošanai būvuzņēmumā noteiktais vērtēšanas princips visās klasēs – ja klasifikācijas brīdī Sodu reģistrā ir dati par saistošu, spēkā stājušos, neapstrīdamu lēmumu, prokurora priekšrakstu par sodu vai attiecīgu galīgu tiesas spriedumu, ar kuru atstāts spēkā lēmums par būvdarbu apturēšanu vai normatīvajos aktos noteiktā kārtībā piemērotu sodu.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Sodu reģistra likuma 1.pants noteic, ka likuma mērķis ir izveidot vienotu uzskaiti par noziedzīgus nodarījumus un administratīvos pārkāpumus izdarījušām personām, lai veicinātu šo nodarījumu un pārkāpumu novēršanu un atklāšanu, kā arī par tiem personai noteiktā soda izpildes un tiesību ierobežojumu kontroli.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Vēršam uzmanību, ka gadījumā, ja lēmums par būvdarbu apturēšanu tiek pieņemts Administratīvā procesa likuma  ietvaros, tad informācija par to nav pieejama Sodu reģistrā.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Ņemot vērā minēto, izvērtēt 36.2.apakšpunktā ietverto regulējumu un precizēt 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neattiecās uz Noteikumu projektu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netiek uzturēts Iekšlietu ministrijas 24.03.2022. atzinumā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"Klasifikācijas iestāde no Iekšlietu ministrijas Informācijas centra uzturētās valsts informācijas sistēmas "Sodu reģistrs" (turpmāk – Sodu reģistrs) tiešsaistes datu pārraides režīmā iegūst informāciju par būvuzņēmuma atbilstību šo noteikumu 36.2. apakšpunktā minētajām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Lai klasificētu Latvijā reģistrētus komersantus, klasifikācijas iestāde no Sodu reģistra saņem ziņas par būvuzņēmuma pieļautajiem Krimināllikuma un citu likumu pārkāpumiem (tiesību akta nosaukums, kā arī pārkāptā tiesību norma un periods, par kādu ziņas pārbauda, norādīts šo noteikumu </w:t>
            </w:r>
            <w:r w:rsidR="00000000" w:rsidRPr="00000000" w:rsidDel="00000000">
              <w:rPr>
                <w:rtl w:val="0"/>
              </w:rPr>
              <w:t xml:space="preserve">3.</w:t>
            </w:r>
            <w:r w:rsidR="00000000" w:rsidRPr="00000000" w:rsidDel="00000000">
              <w:rPr>
                <w:rtl w:val="0"/>
              </w:rPr>
              <w:t xml:space="preserve"> pielikumā).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- 10.01.2022.)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projektā piedāvāto 26.punkta redakciju pirms vārda "pārkāpumiem" ar vārdu "normu", tādējādi nodrošinot vienveidīgas terminoloģijas lietošanu visā projekta tekstā.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Lai klasificētu Latvijā reģistrētus komersantus, klasifikācijas iestāde no Sodu reģistra saņem ziņas par būvuzņēmuma pieļautajiem Krimināllikuma un citu likumu normu pārkāpumiem (tiesību akta nosaukums, kā arī pārkāptā tiesību norma un periods, par kādu ziņas pārbauda, norādīts šo noteikumu </w:t>
            </w:r>
            <w:r w:rsidR="00000000" w:rsidRPr="00000000" w:rsidDel="00000000">
              <w:rPr>
                <w:rtl w:val="0"/>
              </w:rPr>
              <w:t xml:space="preserve">3.</w:t>
            </w:r>
            <w:r w:rsidR="00000000" w:rsidRPr="00000000" w:rsidDel="00000000">
              <w:rPr>
                <w:rtl w:val="0"/>
              </w:rPr>
              <w:t xml:space="preserve"> pielikumā).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36.2.7. "36.2.7. piespiedu ietekmēšanas līdzekli, kas piemērots par šo noteikumu 3. pielikumā minēto Krimināllikuma normu pārkāpumu par 36 mēnešu periodu vai par citu likumu normu pārkāpumu par 12 mēnešu periodu pirms lēmuma pieņemšanas par klasifikāciju. Ja Sodu reģistra dati liecina par šo noteikumu 3. pielikumā minēto Krimināllikuma vai Darba likuma normu pārkāpumu  darba tiesisko attiecību jomā, piemēro korekciju 0,5 punktu apmērā. Par pārējo šo noteikumu 3. pielikumā minēto citu likumu normu pārkāpumu piemēro korekciju 0,1 punkta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- 24.03.2022.)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projekta 36.2.7.apakšpunktā ietvertā otrā teikuma redakcija var tikt interpretēta tādējādi, ka korekciju 0,5 punktu apmērā piemēro tikai attiecībā uz Krimināllikuma normu pārkāpumiem darba tiesisko attiecību jomā. Vienlaikus norādām, ka jebkurš Darba likuma normu pārkāpums ir saistīts ar darba tiesisko attiecību jomu. Gadījumā, ja minētā regulējuma mērķis ir noteikt, ka  korekcija 0,5 punktu apmērā tiek piemērota  par 3.pielikumā paredzētājiem visiem Krimināllikuma un Darba likuma normu pārkāpumiem, ierosinām svītrot 36.2.7.apakšpunktā vārdus “darba tiesisko attiecību jomā”.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Priekšlikumā norādītā redakcija pēc būtības nemaina 36.2.7. apakšpunktā noteikto regulējumu, kā arī, ņemot vērā noteikumu projekta virzības stadiju, priekšlikums netiek 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36.2.7. "36.2.7. piespiedu ietekmēšanas līdzekli, kas piemērots par šo noteikumu 3. pielikumā minēto Krimināllikuma normu pārkāpumu par 36 mēnešu periodu vai par citu likumu normu pārkāpumu par 12 mēnešu periodu pirms lēmuma pieņemšanas par klasifikāciju. Ja Sodu reģistra dati liecina par šo noteikumu 3. pielikumā minēto Krimināllikuma vai Darba likuma normu pārkāpumu  darba tiesisko attiecību jomā, piemēro korekciju 0,5 punktu apmērā. Par pārējo šo noteikumu 3. pielikumā minēto citu likumu normu pārkāpumu piemēro korekciju 0,1 punkta apmērā;"</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21-TA-343</w:t>
    </w:r>
    <w:r>
      <w:br/>
    </w:r>
    <w:r w:rsidR="00000000" w:rsidRPr="00000000" w:rsidDel="00000000">
      <w:rPr>
        <w:rtl w:val="0"/>
      </w:rPr>
      <w:t xml:space="preserve">07.04.2022. 19.25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21-TA-343</w:t>
    </w:r>
    <w:r>
      <w:br/>
    </w:r>
    <w:r w:rsidR="00000000" w:rsidRPr="00000000" w:rsidDel="00000000">
      <w:rPr>
        <w:rtl w:val="0"/>
      </w:rPr>
      <w:t xml:space="preserve">07.04.2022. 19.25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Izziņa_21-TA-343.docx</dc:title>
</cp:coreProperties>
</file>

<file path=docProps/custom.xml><?xml version="1.0" encoding="utf-8"?>
<Properties xmlns="http://schemas.openxmlformats.org/officeDocument/2006/custom-properties" xmlns:vt="http://schemas.openxmlformats.org/officeDocument/2006/docPropsVTypes"/>
</file>