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24-TA-1846: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4.2.1.5. pasākuma  īstenošanas noteikumus ar punktu par "Izglītības iestāžu nodrošinājums pilnveidotā vispārējās izglītības satura kvalitatīvai ieviešanai pamata un vidējās izglītības pakāpē" otrās projekta iesniegumu atlases kārtas īstenošanas    Noteikumu Uzraudzības padomes izveidošanu un Uzraudzības oadomes sastāvā iekļaut Latvijas Pašvaldību savienības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ir plānots atbalstīt vismaz 20 pašvaldību projekta iesniegumus. MK noteikumu nosacījumi un projekta iesniegumu vērtēšanas kritēriji paredz nosacījumus projektu kvalitātei un nosaka rāmi, kā finansējuma saņēmējs īsteno projektu, tajā skaitā nodrošinot investīciju pamatotību, pēctecību un ilgtspēju. Uzskatām, ka šī atbalsta ietvaros Uzraudzības padome nevar ietekmēt finansējuma saņēmējus, kā arī šāda veida uzraudzības mehānisms uzliek nepamatotu administratīvo slogu visām iesaistītajām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otrās projektu iesniegumu atlases kārtas mērķis ir sniegt atbalstu tām pašvaldībām, kas ir sakārtojušas vispārējās izglītības iestāžu tīklu, un Rīgas valstspilsētas pašvaldībai, lai uzlabotu to vispārējās izglītības iestāžu mācību vidi, nodrošinātu  efektīvu resursu koncentrēšanu un izmantošanu un stiprinātu vispārējās izglītības iestāžu nodrošinājumu ar mūsdienīgas un kvalitatīvas pamata un vidējās izglītības īstenošanai nepieciešamo nodrošinājumu, tādējādi uzlabojot piekļuvi kvalitatīviem pakalpojumiem izglītības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- 07.11.2024.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kā būs izmērāma vispārējās izglītības iestāžu tīkla sakārtotība.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Jautājums no Smiltenes novada pašvaldības: "Sarunās ar IZM tiek norādīts, ka Smiltenei tīkls ir sakārtots un mūsu "sāpju bērns" Blomes pamatskola tiks ielikti saucamajā "izņēmumu līgumā". Lasot šos noteikumus ir skaidrs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11.1. nosacījums atbilstoši 1. pielikuma kritērijiem neatbilst Programmu finansējuma modeļa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nekādu "izņēmuma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pēc šīs programmas Smiltenes novads arī pēc visām pārmaiņām paliek bez šī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noteikumu projekta 1.pielikumā ir noteikti vispārējās izglītības iestāžu tīkla sakārtošanas kritēriji, ievērojot šo noteikumu 2. pielikumā minētās pašvaldību iedalījuma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noteikumu projekta 1.pielikums ir papildināts ar 3.5. apakšpunktu un 6.punktu, atrunājot izņēmuma gadījumus. Papildu skaidrojam, ka Programmu finansēšanas modelim ir cits mērķis, kaut gan tās ietver arī vispārējās izglītības iestāžu tīkla sakārtošanas nosacījumus. Papildu skaidrojumu par skolu tīkla sakārtošanu lūdzam skatīt izziņas 3.punktā.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otrās projektu iesniegumu atlases kārtas mērķis ir sniegt atbalstu tām pašvaldībām, kas ir sakārtojušas vispārējās izglītības iestāžu tīklu, un Rīgas valstspilsētas pašvaldībai, lai uzlabotu to vispārējās izglītības iestāžu mācību vidi, nodrošinātu  efektīvu resursu koncentrēšanu un izmantošanu un stiprinātu vispārējās izglītības iestāžu nodrošinājumu ar mūsdienīgas un kvalitatīvas pamata un vidējās izglītības īstenošanai nepieciešamo nodrošinājumu, tādējādi uzlabojot piekļuvi kvalitatīviem pakalpojumiem izglītības jomā.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otrās projektu iesniegumu atlases kārtas mērķis ir sniegt atbalstu tām pašvaldībām, kas ir sakārtojušas vispārējās izglītības iestāžu tīklu, un Rīgas valstspilsētas pašvaldībai, lai uzlabotu to vispārējās izglītības iestāžu mācību vidi, nodrošinātu  efektīvu resursu koncentrēšanu un izmantošanu un stiprinātu vispārējās izglītības iestāžu nodrošinājumu ar mūsdienīgas un kvalitatīvas pamata un vidējās izglītības īstenošanai nepieciešamo nodrošinājumu, tādējādi uzlabojot piekļuvi kvalitatīviem pakalpojumiem izglītības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2.punktā sniegto skaidrojumu, ka atbalsts tiek sniegts pašvaldībām, kas ir sakārtojušas vispārējās izglītības iestāžu tīklu, </w:t>
            </w:r>
            <w:r w:rsidR="00000000" w:rsidRPr="00000000" w:rsidDel="00000000">
              <w:rPr>
                <w:b w:val="1"/>
                <w:rtl w:val="0"/>
              </w:rPr>
              <w:t xml:space="preserve">norādām, ka joprojām nav panākta vienošanās nozares līmenī par kritērijiem, saskaņā ar kuriem izglītības iestāžu tīkls atzīstams par sakārtotu.</w:t>
            </w:r>
            <w:r w:rsidR="00000000" w:rsidRPr="00000000" w:rsidDel="00000000">
              <w:rPr>
                <w:rtl w:val="0"/>
              </w:rPr>
              <w:t xml:space="preserve"> Kamēr nav noteikti optimāla skolu tīkla kritēriji nacionālā līmenī, iespējamais atbalsta saņēmēju loks var atšķirties, tādējādi radot būtisku ierobežojumu investīciju nepieejamībai.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mērķtiecīgāk ieviestu 4.2.1.5.pasākuma 2.kārtas atbalstu, ir izstrādāti specifiski nosacījumi, kas paredz atbalstu novirzīt tādam pašvaldībām, kas ir veikušās specifiskās darbības, lai nodrošinātu efektīvāku vispārējās izglītības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21.novembrī Ministru kabinets apstiprināja IZM sagatavoto ziņojumu “Kompleksi risinājumi augstvērtīgai izglītības nodrošināšanai vispārējā pamata un vidējā izglītībā definētajiem uzdevumiem”, kas piedāvāja risinājumu tam, kā sasniegt efektīvu skolu tīklu, un kas saņēma pozitīvu atzinumu no vienas no pašvaldību pārstāvošas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ziņojuma apstiprināšanai 9 pašvaldību skolu tīkli tika vērtēti kā sakārtoti saskaņā ar ziņojumā aprakstītajiem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ziņojuma apstiprināšanas līdz 2023./2024.mācību gada beigām 10 pašvaldības pieņēma visus lēmumus par skolu reorganizācijām saskaņā ar ziņojumā aprakstītajiem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11 pašvaldībām palikuši vēl 1-2 lēmumi par skolu reorganizācijām, kurus pašvaldība plāno pieņemt līdz 2024./2025.mācību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uz 2024./2025.mācību gadu kopumā no 43 pašvaldībām 30 pašvaldībās ir sakārtoti skolu tīkli vai arī šī mācību gada laikā tie tiks sakārtoti, kas liecina, ka ar nozari kopumā ir sasniegta zināma vienprātība.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apzinās, ka, turpinot diskusiju par skolu tīkla sakārtošanas nosacījumiem, pašvaldību saraksts vai atbilstošo izglītības iestāžu saraksts var mainīties, tomēr 4.2.1.5.pasākuma 2.kārtas ietvaros tiks sniegts atbalsts tām pašvaldībām, kas līdz šim un vienu mēnesi pēc šo noteikumu projekta apstiprināšanas ir nodrošinājušas noteikumu projekta 1.pielikumā definēto kritēriju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otrās projektu iesniegumu atlases kārtas mērķis ir sniegt atbalstu tām pašvaldībām, kas ir sakārtojušas vispārējās izglītības iestāžu tīklu, un Rīgas valstspilsētas pašvaldībai, lai uzlabotu to vispārējās izglītības iestāžu mācību vidi, nodrošinātu  efektīvu resursu koncentrēšanu un izmantošanu un stiprinātu vispārējās izglītības iestāžu nodrošinājumu ar mūsdienīgas un kvalitatīvas pamata un vidējās izglītības īstenošanai nepieciešamo nodrošinājumu, tādējādi uzlabojot piekļuvi kvalitatīviem pakalpojumiem izglītības jomā.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otro projektu iesniegumu atlases kārtu īsteno ierobežotās projektu iesniegumu atlases veidā, tajā skaitā īstenojot projektu iesniedzēju priekšatlasi.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projekts paredz līdz 31.12.2027. sasniegt izvirzīto nacionālo rādītāju, kā arī plānota projekta iesniedzēju priekšatlase, lūdzam sniegt informāciju par plānotās priekšatlases izsludināšanas termiņiem un projektu iesniegumu atlases uzsākšanas laiku, lai savlaicīgi nodrošinātu nepieciešamās darbības projekta iesnieguma pamatojošās dokumentācijas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apstiprināšana Ministru kabineta sēdē: 2025.gada 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Priekšatlases izsludināšana: 2025.gada februāris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lēmums par priekšatlases rezultātiem: 2025.gada marts/2025.gada aprīlis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izsludināšana: 2025.gada aprīlis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piedalītos priekšatlasē un projektu atlasē, viena mēneša laikā pēc šo noteikumu spēkā stāšanās pašvaldībai jāizpilda šo noteikumu 11.1. apakšpunktā minētie nosacījumi un jāinformē Izglītības un zinātnes ministriju par plānoto dalību projektu iesniedzēju priekšatlasē, ievērojot noteikumu projekta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otro projektu iesniegumu atlases kārtu īsteno ierobežotās projektu iesniegumu atlases veidā, tajā skaitā īstenojot projektu iesniedzēju priekšatlasi.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Rīgas valstspilsētas pašvaldība, kas projekta īstenošanas rezultātā nodrošina vismaz vienas vispārējās izglītības programmu īstenošanas vietas likvidēšanu.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izpratni, kā arī ņemot vērā, ka pasākuma mērķis ir uzlabot vispārējās izglītības iestāžu mācību  vidi, nodrošinot  efektīvu resursu koncentrēšanu un izmantošanu un stiprinot vispārējās izglītības iestāžu nodrošinājumu ar mūsdienīgas un kvalitatīvas pamata un vidējās izglītības īstenošanai nepieciešamo nodrošinājumu, tādējādi uzlabojot piekļuvi kvalitatīviem pakalpojumiem izglītības jomā, lūdzam sniegt izvērstāku skaidrojumu par izvirzītā nosacījuma atbilstību noteiktajam pasākuma mērķim, kā arī lūdzam norādīt, kāds dokumentu kopums uz projekta iesnieguma iesniegšanas brīdi apliecinās, ka likvidēta vismaz viena vispārējās izglītības programmu īstenošanas vieta. Vienlaikus lūdzam skaidrot, vai vispārējās izglītības programmu īstenošanas vietas likvidēšana ir attiecināma uz pilsētu kopumā vai uz konkrētu īstenošanas vietu, kurā tiks veikti ieguldījumi.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Rīgas valstspilsētas pašvaldības iespēja pretendēt uz 4.2.1.5.pasākuma 1.kārtas atbalsta finansējumu atbilst pasākuma mērķim, kas nosaka uzlabot vispārējās izglītības iestāžu mācību  vidi, nodrošinot  efektīvu resursu koncentrēšanu un izmantošanu un stiprinot vispārējās izglītības iestāžu nodrošinājumu ar mūsdienīgas un kvalitatīvas pamata un vidējās izglītības īstenošanai nepieciešamo nodrošinājumu, tādējādi uzlabojot piekļuvi kvalitatīviem pakalpojumiem izglītības jomā. Vienlaikus, ņemot vērā, ka  Rīgas valstspilsētas pašvaldība piedalās  atbalstā izņēmumā kārtā, tiek  paredzēts specifisks nosacījums tās dalībai, lai veicinātu izglītības iestāžu tīkla optimizācijas pasākumu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izglītības programmu īstenošanas vietas likvidēšanu.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Rīgas valstspilsētas pašvaldība, kas projekta īstenošanas rezultātā nodrošina vismaz vienas vispārējās izglītības programmu īstenošanas vietas likvidēšanu.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Rīgas valstspilsētas pašvaldība.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noteikumu projekta II nodaļā ietverto regulējumu un to pēc nepieciešamības precizēt, ņemot vērā, ka noteikumu projekta 11.2. apakšpunktā kā viens no projekta iesniedzējiem jau ir noteikta Rīgas valstspilsētas pašvaldība, un attiecīgi secināms, ka Rīgas valstspilsētas pašvaldība nepiedalās projektu iesniedzēju priekšatlasē. Lūdzam precizēt noteikumu projekta II nodaļu, nodrošinot viennozīmīgu interpretāciju par prasībām Rīgas valstspilsētas pašvaldībai kā projekta iesniedzējam un pārējām pašvaldībām kā projektu iesniedzējiem.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Rīgas valstspilsētas pašvaldība, kas projekta īstenošanas rezultātā nodrošina vismaz vienas vispārējās izglītības programmu īstenošanas vietas likvidēšanu.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Pašvaldībai maksimāli plānotais Eiropas Reģionālās attīstības fonda finansējums tiek aprēķināts proporcionāli pašvaldības dibināto vispārējās izglītības iestāžu izglītojamo skaitam 1.–12. klašu grupā saskaņā ar Valsts izglītības informācijas sistēmā pieejamajiem datiem uz 2024. gada 1. septembri. Eiropas Reģionālās attīstības  fonda finansējums šo noteikumu 11.2. apakšpunktā minētajam projektu iesniedzējam nepārsniedz 5 000 000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53.panta 2.punktam, ka projektiem, kuri ir zem 200 000 </w:t>
            </w:r>
            <w:r w:rsidR="00000000" w:rsidRPr="00000000" w:rsidDel="00000000">
              <w:rPr>
                <w:i w:val="1"/>
                <w:rtl w:val="0"/>
              </w:rPr>
              <w:t xml:space="preserve">euro </w:t>
            </w:r>
            <w:r w:rsidR="00000000" w:rsidRPr="00000000" w:rsidDel="00000000">
              <w:rPr>
                <w:rtl w:val="0"/>
              </w:rPr>
              <w:t xml:space="preserve">sliekšņa, izmaksām jābūt segtām ar vienkāršoto izmaksu metodiku, lūdzam skaidrot, vai 4.2.1.5.pasākuma 2.kārtā ir iespējami projekti, kas var būt zem 200 000 </w:t>
            </w:r>
            <w:r w:rsidR="00000000" w:rsidRPr="00000000" w:rsidDel="00000000">
              <w:rPr>
                <w:i w:val="1"/>
                <w:rtl w:val="0"/>
              </w:rPr>
              <w:t xml:space="preserve">euro</w:t>
            </w:r>
            <w:r w:rsidR="00000000" w:rsidRPr="00000000" w:rsidDel="00000000">
              <w:rPr>
                <w:rtl w:val="0"/>
              </w:rPr>
              <w:t xml:space="preserve">, kā arī noteikt noteikumu projektā minimālo projektu apjoma slieksni, ka vienam projekta iesniegumam minimālais kopējo attiecināmo izmaksu apmērs nav mazāks kā 200 000 </w:t>
            </w:r>
            <w:r w:rsidR="00000000" w:rsidRPr="00000000" w:rsidDel="00000000">
              <w:rPr>
                <w:i w:val="1"/>
                <w:rtl w:val="0"/>
              </w:rPr>
              <w:t xml:space="preserve">euro</w:t>
            </w:r>
            <w:r w:rsidR="00000000" w:rsidRPr="00000000" w:rsidDel="00000000">
              <w:rPr>
                <w:rtl w:val="0"/>
              </w:rPr>
              <w:t xml:space="preserve">(ieskaitot), ja plānots, ka projekti būs virs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noteikt maksimālo projekta apmēru visiem projektiem (ne tikai Rīgai), lai nodrošinātu nacionālā rādītāja izpildi, ņemot vērā, ka skolu infrastruktūras vajadzības pārsniedz pasākumam pieejamo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finansējuma indikatīvo sadalījumu starp potenciālajiem projekta iesniedzējiem nosaka proporcionāli pašvaldības dibināto vispārējās izglītības iestāžu izglītojamo skaitam 1.–12. klašu grupā, atbalsta ietvaros nav iespējami projekti zem 200 000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noteikumu projekta 13.punktu, Izglītības un zinātnes ministrija viena mēneša laikā pēc priekšatlases iesniedz Ministru kabinetā rīkojuma projektu lēmuma pieņemšanai par priekšatlasē atlasītajām pašvaldībām un par katrai pašvaldībai plānoto maksimālo Eiropas Reģionālās attīstības fondu finansējumu. Priekšatlasē atlasīta pašvaldība, izvērtējot sev pieejamo finansējumu un atbalsta ieviešanas termiņu, izvēlas vienu vai vairākas izglītības iestādes, kurās veiks investīcijas, pamatojoties uz pašvaldības attīstības programmas investīciju plānu un pašvaldības attīstības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esošo brīdi indikatīvi 16 pašvaldības kvalificējas dalībai priekšatlasē, kā arī sagaidāms, ka  vienu mēnesi pēc šo MK noteikumu apstiprināšanas (indikatīvi 2025.gada janvāris)  vēl apmēram 8 pašvaldības var izpildīt MK noteikumu minētos kritērijus. Papildu šim pašvaldībām, priekšatlasē piedalās arī Rīgas valstspilsēta pašvaldība, jo tā nav vienlīdzīgā situācijā salīdzinājumā ar parējām pašvaldībām, ņemot vērā izglītojamo koncentrāciju, tāpēc skolu tīkla sakārtošanas kritēriji uz to netiek attiecinātis.  Tādējādi, sagaidāms, ka atlasē piedalīsies 15-25 pašvaldības un atbalstam kopā tiks izvirzītas vismaz 20 izglītības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5. punktā minēto Eiropas Reģionālā attīstības fonda finansējumu sadala šo noteikumu 11. punktā minētajiem projektu iesniedzējiem, ievērojot šādus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šo noteikumu 11.1. apakšpunktā minētais projekta iesniedzējs atbalstam ir izvirzījis vispārējās izglītības iestādi, kas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3., 4. un 5. punkta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 un nepārprotamai   Noteikumu projekta izpratnei, aicinām sniegt skaidrojumu, vai zem termina “vispārējās izglītības iestāde ”Noteikumu projekta izpratnē kvalificējas: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sākumskola, kas īsteno pamatizglītības pirmā posma izglītības programmu no 1. klases līdz 6. klasei;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ģimnāzija, kas īsteno pamatizglītības otrā posma izglītības programmu no 7. klases līdz 9. klasei un vispārējās vidējās izglītības programmu no 10. klases līdz 12. klasei.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iepriekšējā Eiropas Savienības fondu 2014. – 2020. gada plānošanas periodā 8.1.2. specifiskā atbalsta mērķa „Uzlabot vispārējās izglītības iestāžu mācību vidi” regulējošajos Ministru kabineta noteikumos valsts ģimnāzijai tika noteiktas atsevišķas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izpratnē kā atbalstāma vispārējās izglītības iestāde, kas atbilst kādam no noteikumu projekta 1. pielikuma minētajiem ierobežojumiem, tostarp: 1) 1. sākumskola, kas īsteno pamatizglītības pirmā posma izglītības programmu no 1. klases līdz 6. klasei; 2)  valsts ģimnāzija, kas īsteno pamatizglītības otrā posma izglītības programmu no 7. klases līdz 9. klasei un vispārējās vidējās izglītības programmu no 10. klases līdz 12. klasei.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Rīgas valstspilsētu, noteikumu projekta 19.4. apakšpunktā ir noteikti papildus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šo noteikumu 11.1. apakšpunktā minētais projekta iesniedzējs atbalstam ir izvirzījis vispārējās izglītības iestādi, kas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3., 4. un 5. punkta kritērijiem, ievērojot šo noteikumu 2. pielikumā minētās pašvaldību iedalījuma grupas;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šo noteikumu 11.2. apakšpunktā minētais projekta iesniedzējs atbalstam ir izvirzījis vispārējās izglītības iestādi, kas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3., 4. un 5. punkta kritērijiem, un izglītības iestāžu tīkla optimizēšanas rezultātā atbalstam izvirzītajā vispārējās izglītības iestādē paredzams izglītojamo skaita pieaugums.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būtiski nodrošināt atbalstu infrastruktūras un mācību vides uzlabošanai arī tām Rīgas valstspilsētas pašvaldības vispārējās izglītības iestādēm, kurās jau optimizācijas pasākumi ir īstenoti un izglītojamo skaita pieaugums ir nodrošināts, lūdzam skaidrot vai atbalstam izvirzāma arī tāda vispārējā izglītības iestāde, kurā optimizācijas pasākumi ir veikti. Lai novērstu interpretācijas iespējas, lūdzam attiecīgi precizēt MKN projekta 17.5.apakšpunkta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19.4. apakšpunktu, kas attiecībā uz Rīgas valstspilsētas pašvaldības izvirzītu vispārējās izglītības iestādi paredz nodrošinātu vai paredzamu izglītojamo skaita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šo noteikumu 11.2. apakšpunktā minētais projekta iesniedzējs atbalstam ir izvirzījis vispārējās izglītības iestādi, kas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3., 4. un 5. punkta kritērijiem, ievērojot šo noteikumu 2. pielikumā minētās pašvaldību iedalījuma grupas, un izglītības iestāžu tīkla optimizēšanas rezultātā atbalstam izvirzītajā vispārējās izglītības iestādē ir nodrošināts vai paredzams izglītojamo skaita pieaugums.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ir izsludināta iepirkuma procedūra par projekta ietvaros iegādājamo aprīkojumu (ja projekta ietvaros nav paredzēta būvdarbu veikšana).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apakšpunktiem neparedz atzīt tādus projekta iesniegumus, kas saistīti tikai ar būvniecības darbiem. Vēršam uzmanību, ka pašvaldības plāno infrastruktūras attīstību ilgtermiņā un laikus jau ir uzsākti ar projektēšanu saistītie darbi (augstas gatavības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19.2.apakšpunktu ar 19.2.4.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19.2.4. ir uzsākta iepirkuma procedūra par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19.2.1. un 19.2.2. apakšpunktu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ir izsludināta iepirkuma procedūra par projekta ietvaros iegādājamo aprīkojumu (ja projekta ietvaros nav paredzēta būvdarbu veikšana).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otrās projektu iesniegumu atlases kārtas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noteikumu projekta mērķis ir uzlabot vispārējās izglītības iestāžu mācību vidi. LM ieskatā izglītības iestādes mācību vides uzlabošana ir skatāma arī no piekļūstamības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noteikumu projektā atbalstāmās darbības ir jāīsteno ņemot vērā arī izglītojamo ar speciālām vajadzībām vajadzības, t.i., gan izglītības iestādes fiziskā, gan mācību vide jāveido pēc iespējas iekļaujoša, radot priekšnosacījumus, ka bērns ar speciālām vajadzībām spēj pēc iespējas patstāvīgi iekļauties mācību apguves procesā, t.sk. ņemot vērā pašvaldības kā izglītības iestādes dibinātāja atbildību kvalitatīvas un piekļūstamas izglītības iestāžu mācību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izstrādājusi dažādus metodiskos materiālus (https://www.lm.gov.lv/lv/ieteikumi-ieklaujosas-vides-veidosanai) iekļaujošas vides veidošanai, tostarp "Vadlīnijas augstskolām par iekļaujošas studiju vides veidošanu" (https://www.lm.gov.lv/sites/lm/files/content/vadlinijas_augstskolam_16092020.pdf), kas var kalpot kā palīgmateriāls izglītības iestādēm īstenojot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8.1.9.sadaļa par ietekmi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otrās projektu iesniegumu atlases kārtas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otrās projektu iesniegumu atlases kārtas ietvaros ir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praksē un, lai ievērotu ANO Konvencijā par personu ar invaliditāti tiesībām noteikto piekļūstamības un nediskrimināciijas principu, aicinām paredzēt </w:t>
            </w:r>
            <w:r w:rsidR="00000000" w:rsidRPr="00000000" w:rsidDel="00000000">
              <w:rPr>
                <w:b w:val="1"/>
                <w:rtl w:val="0"/>
              </w:rPr>
              <w:t xml:space="preserve">attiecināmās izmaksas HP  darbību īstenošanai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horizontālā principa “Vienlīdzība, iekļaušana, nediskriminācija un pamattiesību ievērošana” darbību īstenošanai, tai skaitā  vides un informācijas piekļūstamības ekspertu konsultācijas.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otrās projektu iesniegumu atlases kārtas ietvaros tiešās attiecināmās izmaksas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22.2.1. telpu (klašu, auditoriju, mācību laboratoriju, tai skaitā multifunkcionālu mācību telpu, bibliotēku un lasītavu) pārbūves un atjaunošanas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 izpratnei par to, vai Noteikuma projekta 22.2.1. apakšpunkta minētajās izmaksās ir “iekļautas” arī  Noteikuma projekta 22.5. apakšpunktā noradītās izmaksas, lūdzam sniegt skaidrojumu Noteikumu projekta anotācijā vai veikt atbilstošus Noteikumu projekta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darbības programmā "Eiropas Savienības kohēzijas politikas programma 2021.–2027.gadam" noteikto par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noteikto par īpašu atbalstu pilnveidotā vispārējās izglītības satura īstenošanai nepieciešamo resursu paplašināšanai, jo īpaši STEM vajadzībām nepieciešamo aprīkojumu un izglītības tehnoloģijām, tad investīcijas STEM priekšmetu mācību telpās ir nošķirtas.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22.2.1. un 22.5.apakšpunkts.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22.2.1. telpu (klašu, kabinetu, auditoriju, mācību laboratoriju, tai skaitā multifunkcionālu mācību telpu, bibliotēku un lasītavu) pārbūves un atjaunošanas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22.2.2. gaiteņu un  sanitāro  mezglu  pārbūves  un  atjaunošanas  izmaksas,  ja  tiek  īstenoti  šo  noteikumu 20.2.1. apakšpunktā minētie darbi;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22.2.2. apakšpunktu, tā palīgteikumā norādot korektu atsauci uz Noteikumu apakšpunktu (Noteikumu projektā nav 20.2.1.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22.2.2. gaiteņu un  sanitāro  mezglu  pārbūves  un  atjaunošanas  izmaksas,  ja  tiek  īstenoti  šo  noteikumu 22.2.1. apakšpunktā minētie darbi;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22.2.4. iekšējo inženiertīklu (iekšējo elektrotīklu,  apkures  sistēmu,  vēdināšanas  un gaisa kondicionēšanas sistēmu,    ūdensvada    tīklu,    kanalizācijas    tīklu,    automātisko    ugunsgrēka atklāšanas, video novērošanas sistēmas, tostarp video novērošanas kameras, balss apziņošanas  sistēmas, trauksmes signalizācijas un automātiskās balss ugunsgrēka izziņošanas sistēmu) izbūves un pārbūves izmaksas. Minētās izmaksas plāno kā papildinošas šo noteikumu 22.2.1. un 22.2.2. apakšpunktā minētajām izmaksām, un tās nepārsniedz 25 procentus no šo noteikumu 22.2.1. un 22.2.2. apakšpunktā minētajām būvdarbu attiecināmajām izmaksām. Ja projekta īstenošanas rezultātā paredzēta visu projektā atbalstāmās vispārējās izglītības iestādes klašu telpu mācību vides uzlabošana, iekšējo inženiertīklu izbūves un pārbūves izmaksas, izņemot vēdināšanas un gaisa kondicionēšanas sistēmu izbūves un pārbūves izmaksas, tās nepārsniedz 25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iekļautas 2 vispārējās izglītības iestādes, kurās paredzēti klašu telpu mācību vides uzlabošanas darbi. Vai Noteikuma projekta 22.2.4. apakšpunktā minētais ierobežojums ir attiecināms uz katru projektā iekļauto vispārējās izglītības iestādi atsevišķi vai uz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izpratnes nodrošināšanai lūdzam sniegt skaidrojumu par minēto situāciju Noteikumu projekta anotācijā vai veikt atbilstošus Noteikumu projekta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22.2.4. iekšējo inženiertīklu (iekšējo elektrotīklu,  apkures  sistēmu,  vēdināšanas  un gaisa kondicionēšanas sistēmu,    ūdensvada    tīklu,    kanalizācijas    tīklu,    automātisko    ugunsgrēka atklāšanas, video novērošanas sistēmas, tostarp video novērošanas kameras, balss apziņošanas  sistēmas, trauksmes signalizācijas un automātiskās balss ugunsgrēka izziņošanas sistēmu) izbūves un pārbūves izmaksas. Minētās izmaksas, izņemot vēdināšanas un gaisa kondicionēšanas sistēmu izbūves un pārbūves izmaksas, plāno kā papildinošas šo noteikumu 22.2.1., 22.2.2. un 22.5. apakšpunktā minētajām izmaksām, un tās nepārsniedz 25 procentus no šo noteikumu 22.2.1.,  22.2.2. un 22.5. apakšpunktā minētajām būvdarbu attiecināmajām izmaksām. Ja projekta īstenošanas rezultātā paredzēta visu projektā atbalstāmās vispārējās izglītības iestādes klašu telpu mācību vides uzlabošana, iekšējo inženiertīklu izbūves un pārbūves izmaksas, izņemot vēdināšanas un gaisa kondicionēšanas sistēmu izbūves un pārbūves izmaksas, nepārsniedz 25 procentus no projekta kopējām attiecināmajām izmaksām;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iekšējo inženiertīklu (iekšējo elektrotīklu,  apkures  sistēmu,  vēdināšanas  un gaisa kondicionēšanas sistēmu,    ūdensvada    tīklu,    kanalizācijas    tīklu,    automātisko    ugunsgrēka atklāšanas, video novērošanas, balss apziņošanas  sistēmas, trauksmes signalizācijas un automātiskās balss ugunsgrēka izziņošanas sistēmu) izbūves un pārbūves izmaksas. Minētās izmaksas plāno kā papildinošas šo noteikumu 20.2.1. un 20.2.2. apakšpunktā minētajām izmaksām, un tās nepārsniedz 25 procentus no šo noteikumu 20.2.1. un 20.2.2. apakšpunktā minētajām būvdarbu attiecināmajām izmaksām. Ja projekta īstenošanas rezultātā paredzēta visu projektā atbalstāmās vispārējās izglītības iestādes klašu telpu mācību vides uzlabošana, iekšējo inženiertīklu izbūves un pārbūves izmaksas, izņemot vēdināšanas un gaisa kondicionēšanas sistēmu izbūves un pārbūves izmaksas, tās nepārsniedz 25 procentus no projekta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precīzāku skaidrojumu,  vai 20.2.4. apakšpunkta ietvaros ir atbalstāmas video novērošanas kameru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20.2.4. apakšpunktā nav attiecināma video kameru iegāde, aicinām </w:t>
            </w:r>
            <w:r w:rsidR="00000000" w:rsidRPr="00000000" w:rsidDel="00000000">
              <w:rPr>
                <w:b w:val="1"/>
                <w:rtl w:val="0"/>
              </w:rPr>
              <w:t xml:space="preserve">papildināt Noteikumu projekta 20.2.2. apakšpunktu, iekļaujot iespēju paredzēt drošības nodrošināšanas aprīkojuma iegādi iekštelpās, kā tas</w:t>
            </w:r>
            <w:r w:rsidR="00000000" w:rsidRPr="00000000" w:rsidDel="00000000">
              <w:rPr>
                <w:rtl w:val="0"/>
              </w:rPr>
              <w:t xml:space="preserve"> noteikts Noteikumu projekta 20.8.apakšpunktā labiekārtojuma ietvarā - </w:t>
            </w:r>
            <w:r w:rsidR="00000000" w:rsidRPr="00000000" w:rsidDel="00000000">
              <w:rPr>
                <w:i w:val="1"/>
                <w:rtl w:val="0"/>
              </w:rPr>
              <w:t xml:space="preserve">“20.8.teritorijas labiekārtošanas un drošības nodrošināšanas, tai skaitā attiecīgo elementu iegāde un uzstādīšana (piemēram, soliņi, celiņi, apgaismojums, žogi, terases, nojumes, video novērošanas kameras, apsardzes sistēma), izmaksas, nepārsniedzot divus procentus no projekta kopējām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22.2.4. apakšpunkta ietvaros ir atbalstāmas video novērošanas kameru iegādes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22.2.4. iekšējo inženiertīklu (iekšējo elektrotīklu,  apkures  sistēmu,  vēdināšanas  un gaisa kondicionēšanas sistēmu,    ūdensvada    tīklu,    kanalizācijas    tīklu,    automātisko    ugunsgrēka atklāšanas, video novērošanas sistēmas, tostarp video novērošanas kameras, balss apziņošanas  sistēmas, trauksmes signalizācijas un automātiskās balss ugunsgrēka izziņošanas sistēmu) izbūves un pārbūves izmaksas. Minētās izmaksas, izņemot vēdināšanas un gaisa kondicionēšanas sistēmu izbūves un pārbūves izmaksas, plāno kā papildinošas šo noteikumu 22.2.1., 22.2.2. un 22.5. apakšpunktā minētajām izmaksām, un tās nepārsniedz 25 procentus no šo noteikumu 22.2.1.,  22.2.2. un 22.5. apakšpunktā minētajām būvdarbu attiecināmajām izmaksām. Ja projekta īstenošanas rezultātā paredzēta visu projektā atbalstāmās vispārējās izglītības iestādes klašu telpu mācību vides uzlabošana, iekšējo inženiertīklu izbūves un pārbūves izmaksas, izņemot vēdināšanas un gaisa kondicionēšanas sistēmu izbūves un pārbūves izmaksas, nepārsniedz 25 procentus no projekta kopējām attiecināmajām izmaksām;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informācijas un komunikācijas tehnoloģiju risinājumu ieviešanas izmaksas, tai skaitā bezvadu interneta un interneta pieslēguma izveides izmaksas, mācību procesa nodrošināšanai nepieciešamā aprīkojuma un programmatūras iegādes izmaksas. Plānojot bezvadu interneta un interneta pieslēguma izveides izmaksas, projekta iesniedzējs ņem vērā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projekta ietvaros veiktās priekšizpētes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precīzāku skaidrojumu, kādu aprīkojumu iespējams iegādāties mācību procesa nodrošināšanai, atrunājot to Noteikumu projekta anotācijā vai veikt atbilstošus precizējumus Noteikumu projekta 20.4. apakšpunktā, kā arī skaidrot atšķirību no Ministru kabineta 2024. gada 18. jūnija noteikumi Nr. 387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 kas paredz datortehnikas iegādi.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kādu aprīkojumu iespējams iegādāties mācību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4.2.1.5.pasākuma 1.kārtas ietvaros tiks iegādāta datortehnika pedagogiem (definēta mērķa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informācijas un komunikācijas tehnoloģiju risinājumu ieviešanas izmaksas, tai skaitā bezvadu interneta un interneta pieslēguma izveides izmaksas, mācību procesa nodrošināšanai nepieciešamā aprīkojuma un programmatūras iegādes izmaksas. Plānojot bezvadu interneta un interneta pieslēguma izveides izmaksas, projekta iesniedzējs ņem vērā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(turpmāk - 2.3.2.3.i investīcija) projekta ietvaros veiktās priekšizpētes rezultātus. Finansējuma saņēmējs nodrošina izmaksu nepārklāšanos ar 2.3.2.3.i investīciju. Datortehnikas iegāde pedagogiem un atbalsta personālam nav attiecināma;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Sadarbības iestāde  projekta  īstenošanas  laikā  un  projekta  dzīves  cikla  laikā (10  gadi) atbilstoši Izglītības un zinātnes ministrijas izstrādātajai papildinošas saimnieciskās darbības uzraudzības metodikai nodrošina  papildinošas  saimnieciskās darbības uzraudzību projekta uzlabotajai infrastruktūrai.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26.punktā minēts, ka sadarbības iestāde  projekta  īstenošanas  laikā  un  projekta  dzīves  cikla  laikā (10 gadi) atbilstoši Izglītības un zinātnes ministrijas izstrādātajai papildinošas saimnieciskās darbības uzraudzības metodikai nodrošina papildinošas  saimnieciskās darbības uzraudzību projekta uzlabotajai infrastruktūrai. Vienlaikus anotācijā ir dots sīkāks skaidrojums par papildinošu saimniecisko darbību (PSD), t.sk. dots piemērs – dienesta viesnīcas iznomāšana.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piemēru - dienesta viesnīcas iznomāšana – anotācijā neiekļaut, jo atkarībā no subjekta, kam tā tiek iznomāta, tā var būt gan PSD, gan saimnieciskā darbība, kas pasākumā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noteikumus precizēt un anotāciju papildināt ar skaidrojumu, ka projekta dzīves cikls ir ieguldījumu amortizācijas periods. Vienlaikus vēršam uzmanību, ka Komisijas 2014. gada 3. 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zivjsaimniecības fondu un vispārīgus noteikumus par Eiropas Reģionālās attīstības fondu, Eiropas Sociālo fondu, Kohēzijas fondu un Eiropas Jūrlietu un zivjsaimniecības fondu, ir zaudējusi spēku, attiecīgi aicinām izvērtēt atsauci uz šo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  projekta  īstenošanas  laikā  un  projekta  dzīves  cikla  laikā (10  gadi) atbilstoši Izglītības un zinātnes ministrijas izstrādātajai papildinošas saimnieciskās darbības uzraudzības metodikai nodrošina  papildinošas  saimnieciskās darbības uzraudzību projekta uzlabotajai infrastruktūrai.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informē sadarbības iestādi par enerģijas patēriņu arī pirms projekta īstenošanas, nodrošinot atbilstību Energoefektivitātes likuma 15.pantam, kā arī iespēju noteikt projekta īstenošanas rezultātā radušos enerģijas samazinājumu, kā arī trīs gadus pēc projekta īstenošanas informē sadarbības iestādi par būves ikgadējo enerģijas patēriņu (megavatstundas);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MKN projekta 31.5. apakšpunktā, paredzot, ka datus par enerģijas patēriņu pirms projekta nav jāsniedz, ja ir plānota jaunas mācību iestādes būvniecība, par cik iepriekš minētā nosacījuma izpilde šajā gadījumā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35.5. apakšpunkts ir precizēts, izmantojot Finanšu ministrijas piedāvāto redakciju. Vienlaikus anotācijā ir sniegts skaidrojums, ka datus par enerģijas patēriņu pirms projekta nav jāsniedz, ja ir plānota jaunas mācību iestādes būvniecība, par cik iepriekš minētā nosacījuma izpilde šajā gadījumā nav iespējama.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pirms projekta īstenošanas, kā arī trīs gadus pēc projekta īstenošanas informē sadarbības iestādi par būves ikgadējo enerģijas patēriņu (megavatstundas);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Aizputes vidusskola, Auces vidusskola, Dagdas vidusskola, Dundagas vidusskola, Engures vidusskola, Gulbenes novada vidusskola, Jaunpiebalgas vidusskola, Kārsavas vidusskola, Kaunatas vidusskola, Mazzalves pamatskola, Pāvilostas pamatskola, Rojas vidusskola, Rūjienas vidusskola, Salacgrīvas vidusskola, Skaistkalnes vidusskola, Smiltenes vidusskola, Tilžas pamatskola, Vaiņodes vidusskola, Valkas Jāņa Cimzes ģimnāzija, Viesītes vidusskola saskaņā ar Valsts izglītības informācijas sistēmas datiem uz 2024.gada 1. septembri nodrošina ne mazāk kā šādu izglītojamo skaitu katrā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1. – 3. klašu grupā – 15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4. – 6. klašu grupā – 15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7. – 9. klašu grupā – 15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10. – 12. klašu grupā – 30 izglītojamie.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4.punktu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Aizputes vidusskola, Auces vidusskola, Dagdas vidusskola, Dundagas vidusskola, Engures vidusskola, Gulbenes novada vidusskola, Jaunpiebalgas vidusskola, Kārsavas vidusskola, </w:t>
            </w:r>
            <w:r w:rsidR="00000000" w:rsidRPr="00000000" w:rsidDel="00000000">
              <w:rPr>
                <w:b w:val="1"/>
                <w:rtl w:val="0"/>
              </w:rPr>
              <w:t xml:space="preserve">Zilupes vidusskola,</w:t>
            </w:r>
            <w:r w:rsidR="00000000" w:rsidRPr="00000000" w:rsidDel="00000000">
              <w:rPr>
                <w:rtl w:val="0"/>
              </w:rPr>
              <w:t xml:space="preserve"> </w:t>
            </w:r>
            <w:r w:rsidR="00000000" w:rsidRPr="00000000" w:rsidDel="00000000">
              <w:rPr>
                <w:b w:val="1"/>
                <w:rtl w:val="0"/>
              </w:rPr>
              <w:t xml:space="preserve">Viļakas vidusskola, Baltinavas vidusskola</w:t>
            </w:r>
            <w:r w:rsidR="00000000" w:rsidRPr="00000000" w:rsidDel="00000000">
              <w:rPr>
                <w:rtl w:val="0"/>
              </w:rPr>
              <w:t xml:space="preserve">, </w:t>
            </w:r>
            <w:r w:rsidR="00000000" w:rsidRPr="00000000" w:rsidDel="00000000">
              <w:rPr>
                <w:b w:val="1"/>
                <w:rtl w:val="0"/>
              </w:rPr>
              <w:t xml:space="preserve">Rekavas vidusskola</w:t>
            </w:r>
            <w:r w:rsidR="00000000" w:rsidRPr="00000000" w:rsidDel="00000000">
              <w:rPr>
                <w:rtl w:val="0"/>
              </w:rPr>
              <w:t xml:space="preserve">, </w:t>
            </w:r>
            <w:r w:rsidR="00000000" w:rsidRPr="00000000" w:rsidDel="00000000">
              <w:rPr>
                <w:b w:val="1"/>
                <w:rtl w:val="0"/>
              </w:rPr>
              <w:t xml:space="preserve">Aglonas vidusskola, Zemgales vidusskola, Salienas vidusskola, Nīcas vidusskola,</w:t>
            </w:r>
            <w:r w:rsidR="00000000" w:rsidRPr="00000000" w:rsidDel="00000000">
              <w:rPr>
                <w:rtl w:val="0"/>
              </w:rPr>
              <w:t xml:space="preserve">  Kaunatas vidusskola, Mazzalves pamatskola, Pāvilostas pamatskola, Rojas vidusskola, Rūjienas vidusskola, Salacgrīvas vidusskola, Skaistkalnes vidusskola, Smiltenes vidusskola, Tilžas pamatskola, Vaiņodes vidusskola, Valkas Jāņa Cimzes ģimnāzija, Viesītes vidusskola saskaņā ar Valsts izglītības informācijas sistēmas datiem uz 2024.gada 1. septembri nodrošina ne mazāk kā šādu izglītojamo skaitu katrā klašu grupā:</w:t>
            </w:r>
            <w:r>
              <w:tab/>
            </w:r>
            <w:r>
              <w:br/>
            </w:r>
            <w:r w:rsidR="00000000" w:rsidRPr="00000000" w:rsidDel="00000000">
              <w:rPr>
                <w:rtl w:val="0"/>
              </w:rPr>
              <w:t xml:space="preserve">4.1. 1. – 3. klašu grupā – 15 izglītojamie;</w:t>
            </w:r>
            <w:r>
              <w:tab/>
            </w:r>
            <w:r>
              <w:br/>
            </w:r>
            <w:r w:rsidR="00000000" w:rsidRPr="00000000" w:rsidDel="00000000">
              <w:rPr>
                <w:rtl w:val="0"/>
              </w:rPr>
              <w:t xml:space="preserve">4.2. 4. – 6. klašu grupā – 15 izglītojamie;</w:t>
            </w:r>
            <w:r>
              <w:tab/>
            </w:r>
            <w:r>
              <w:br/>
            </w:r>
            <w:r w:rsidR="00000000" w:rsidRPr="00000000" w:rsidDel="00000000">
              <w:rPr>
                <w:rtl w:val="0"/>
              </w:rPr>
              <w:t xml:space="preserve">4.3. 7. – 9. klašu grupā – 15 izglītojamie;</w:t>
            </w:r>
            <w:r>
              <w:tab/>
            </w:r>
            <w:r>
              <w:br/>
            </w:r>
            <w:r w:rsidR="00000000" w:rsidRPr="00000000" w:rsidDel="00000000">
              <w:rPr>
                <w:rtl w:val="0"/>
              </w:rPr>
              <w:t xml:space="preserve">4.4. 10. – 12. klašu grupā – 30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1.pielikumu papildinot ar Viļakas vidusskolu un Nīcas vidusskolu.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Pašvaldību dibinātas vispārējās izglītības iestādes, </w:t>
            </w:r>
            <w:r w:rsidR="00000000" w:rsidRPr="00000000" w:rsidDel="00000000">
              <w:rPr>
                <w:b w:val="1"/>
                <w:rtl w:val="0"/>
              </w:rPr>
              <w:t xml:space="preserve">kuras Izglītības un zinātnes ministrija ir noteikusi kā pieejamības izglītības iestādes u</w:t>
            </w:r>
            <w:r w:rsidR="00000000" w:rsidRPr="00000000" w:rsidDel="00000000">
              <w:rPr>
                <w:rtl w:val="0"/>
              </w:rPr>
              <w:t xml:space="preserve">n kuras saskaņā ar Valsts izglītības informācijas sistēmas datiem uz 2024.gada 1. septembri nodrošina šādu izglītojamo skaitu katrā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1. – 3. klašu grupā – 15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4. – 6. klašu grupā – 15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7. – 9. klašu grupā – 15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10. – 12. klašu grupā – 30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MK noteikumu projektam pievienot</w:t>
            </w:r>
            <w:r w:rsidR="00000000" w:rsidRPr="00000000" w:rsidDel="00000000">
              <w:rPr>
                <w:b w:val="1"/>
                <w:rtl w:val="0"/>
              </w:rPr>
              <w:t xml:space="preserve"> Pieejamības izglītības iestāžu sarakstu  </w:t>
            </w:r>
            <w:r w:rsidR="00000000" w:rsidRPr="00000000" w:rsidDel="00000000">
              <w:rPr>
                <w:rtl w:val="0"/>
              </w:rPr>
              <w:t xml:space="preserve">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ir precizēts, nosakot skolas, kurās saskaņā ar Valsts izglītības informācijas sistēmas datiem uz 2024.gada 1. septembri nodrošina Pielikuma 4.punktā minēto izglītojamo skaitu katrā klašu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skolas ir noteiktas, balstoties uz OECD definīciju par pieejamības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MKN projekta 1.pielikums</w:t>
            </w:r>
            <w:r w:rsidR="00000000" w:rsidRPr="00000000" w:rsidDel="00000000">
              <w:rPr>
                <w:i w:val="1"/>
                <w:rtl w:val="0"/>
              </w:rPr>
              <w:t xml:space="preserve">“4. Pašvaldību dibinātas vispārējās izglītības iestādes, kuras Izglītības un zinātnes ministrija ir noteikusi kā pieejamības izglītības iestādes un kuras saskaņā ar Valsts izglītības informācijas sistēmas datiem uz 2024.gada 1. septembri nodrošina šādu izglītojamo skaitu katrā klašu grupā:</w:t>
            </w:r>
            <w:r w:rsidR="00000000" w:rsidRPr="00000000" w:rsidDel="00000000">
              <w:rPr>
                <w:i w:val="1"/>
                <w:rtl w:val="0"/>
              </w:rPr>
              <w:t xml:space="preserve">4.1. 1. – 3. klašu grupā – 15 izglītojamie;</w:t>
            </w:r>
            <w:r w:rsidR="00000000" w:rsidRPr="00000000" w:rsidDel="00000000">
              <w:rPr>
                <w:i w:val="1"/>
                <w:rtl w:val="0"/>
              </w:rPr>
              <w:t xml:space="preserve">4.2. 4. – 6. klašu grupā – 15 izglītojamie;</w:t>
            </w:r>
            <w:r w:rsidR="00000000" w:rsidRPr="00000000" w:rsidDel="00000000">
              <w:rPr>
                <w:i w:val="1"/>
                <w:rtl w:val="0"/>
              </w:rPr>
              <w:t xml:space="preserve">4.3. 7. – 9. klašu grupā – 15 izglītojamie;</w:t>
            </w:r>
            <w:r w:rsidR="00000000" w:rsidRPr="00000000" w:rsidDel="00000000">
              <w:rPr>
                <w:i w:val="1"/>
                <w:rtl w:val="0"/>
              </w:rPr>
              <w:t xml:space="preserve">4.4. 10. – 12. klašu grupā – 30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doto brīdi Izglītības un zinātnes ministrija nevienai no Rīgas valstspilsētas pašvaldības vispārējās izglītības iestādēm nav noteikusi pieejamības izglītības iestādes statusu, lūdzam skaidrot vai MKN projekta 1.pielikuma 4.punktā noteiktie nosacījumi attiecināmi arī uz Rīgas valstspilsētas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Rīgas valstspilsēta atbilstoši noteikumu projekta 2. pielikumam ir noteikta pašvaldību administratīvo teritoriju 1. iedalījumu grupā, kas savukārt nozīmē, ka uz Rīgas valstspilsētu  attiecas noteikumu projekta 1. pielikuma 1.1. apakšpunktā noteiktie izglītojamo skaita ierobežojumi. Savukārt noteikumu projekta 1. pielikuma 4. punkta ir precizēta, norādot konkrētas izglītības iestādes, uz kurām attiecas kritērijs.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6.punktā norādītais kopējais indikatīvi plānotais finansējuma apjoma izlietojums pārsniedz noteikumu projektā plānoto un pieejamo finansējumu, arī pašvaldībām 6.punktā indikatīvi plānotais finansējums ir norādīts lielāks nekā noteikumu projektā paredzēts, līdz ar to lūgums precizēt. Papildus lūdzam 5.3.apakšpunktā precizēt norādīto skaitli 2027.gadam, kā arī 6.punktā pie indikatīvā finansējuma sadalījuma 2027.gadam redakcionāli precizēt finansējuma sadalījumu pa budžetiem, ievērojot, ka līdzfinansējumu ir paredzēts nodrošināt no pašvaldību budžeta nevis no valsts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dzimumu līdztiesību aprakstu atbilstoši LM/TM vadlīnijām [1], iekļaujot specifiskās un vispārīgās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pasākuma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iepirkumu nolikumus, kā arī nodrošinot pakalpojumus, tiks ņemtas vērā sieviešu un vīriešu vajadzības, situācija un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nevirzīt noteikumu projektu apstiprināšanai Ministru kabinetā, kamēr nav panākta vienošanās ar Eiropas Komisiju par vienotu izpratni par visu atbalstāmo darbību atbilstību Eiropas Savienības kohēzijas politikas programmas 2021. – 2027. gadam 4.2.1. specifiskā atbalsta mērķī iekļautajām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apstiprināšanai Ministru kabinetā tiks virzīts tad, kad tiks panākta vienošanās ar Eiropas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1.6. apakšpunktu aiz vārda "nosacījumus" ar vārdiem "un kārtību", lai nodrošinātu atbilstību Eiropas Savienības fondu 2021.–2027. gada plānošanas perioda vadības likuma 19. panta 6. punktā ietvertajam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w:t>
            </w:r>
            <w:r w:rsidR="00000000" w:rsidRPr="00000000" w:rsidDel="00000000">
              <w:rPr>
                <w:b w:val="1"/>
                <w:rtl w:val="0"/>
              </w:rPr>
              <w:t xml:space="preserve">un kārtību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otrajā projektu iesniegumu atlases kārtā projektu iesniedzēju priekšatlasē piedalās: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pēc noteikumu projekta 13.punkta un anotācijā sniegtās informācijas ir noprotams, ka sadarbības iestāde iesaistās pēc informācijas saņemšanas no Izglītības un zinātnes ministrijas par priekšatlases rezultātiem: "Izglītības un zinātnes ministrija viena mēneša laikā pēc priekšatlases ietvaros iesniegtās informācijas izvērtēšanas iesniedz Ministru kabinetā informāciju lēmuma pieņemšanai par priekšatlasē atlasītajām pašvaldībām un par katrai pašvaldībai plānoto maksimālo ERAF finansējumu.", tomēr precīzākai izpratnei un nepārprotamībai, lūdzam, konkrētāk norādīt, ka priekšatlases funkciju nodrošina Izglītības un zinātnes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otrajā projektu iesniegumu atlases kārtā projektu iesniedzēju priekšatlasē piedalās: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un zinātnes ministrija viena mēneša laikā pēc šo noteikumu 11. un  12. punktā minētās informācijas izvērtēšanas atbilstoši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kritērijiem iesniedz Ministru kabinetā informāciju lēmuma pieņemšanai par priekšatlasē atlasītajām pašvaldībām un par katrai pašvaldībai plānoto maksimālo Eiropas Reģionālās attīstības fondu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 punktu norādot, ar kāda tiesību akta projektu (t.i., Ministru kabineta rīkojumu) Ministru kabinetā tiks iesniegta noteikumu projekta 13. punktā minētā informācija lēmuma pieņemšanai par priekšatlasē atlasītajām pašvaldībām un par katrai pašvaldībai plānoto maksimālo Eiropas Reģionālās attīstības fondu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un anotācijā aprakstīt, kā tiks veikts projekta iesniedzēju/finansējuma saņēmēju atlases process, t.sk., vai plānots, ka projekta iesniedzēji paši piesaka skolu infrastruktūras vajadzības vai arī Izglītības un zinātnes ministrija veic atlasi balstoties uz statistikas datiem un iepriekš pieteiktajām vajadzībām, piemēram. Lūdzam papildus skaidrot, kā tiks izvērtētas skolu vajadzību prioritātes, ņemot vērā, ka skolu vajadzības pārsniedz 4.2.1.5.pasākuma 2.kārtai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anotācija ir papildināta ar skaidrojumu par projektu iesniedzēju priekšatlasi un projektu atlasi.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un zinātnes ministrija nodrošina projektu iesniedzēju priekšatlasi. Pēc projektu iesniedzēju priekšatlases noslēgšanās Izglītības un zinātnes ministrija viena mēneša laikā iesniedz Ministru kabinetā Ministru kabineta rīkojuma projektu lēmuma pieņemšanai par priekšatlasē atlasītajām pašvaldībām un par katrai pašvaldībai plānoto maksimālo Eiropas Reģionālās attīstības fondu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Katrai šo noteikumu 11. punktam atbilstošai pašvaldībai maksimāli plānotā Eiropas Reģionālās attīstības fonda finansējuma - 33 053 439 euro daļa tiek aprēķināta proporcionāli pašvaldības dibināto vispārējās izglītības iestāžu izglītojamo skaitam 1.–12. klašu grupā saskaņā ar Valsts izglītības informācijas sistēmā pieejamajiem datiem uz 2024. gada 1. septembri. Eiropas Reģionālās attīstības  fonda finansējums šo noteikumu 11.2. apakšpunktā minētajam projektu iesniedzējam nepārsniedz 5 000 000 euro.  Pašvaldībām, kas atbilst šo noteikumu 11.1. un 12.1.3. apakšpunktā noteiktajam, proporcionāli papildus tiek aprēķināts Eiropas Reģionālās attīstības fonda finansējums 1 133 699 euro. Piešķiramais papildu Eiropas Reģionālā attīstības fonda finansējums nav mazāks kā 170 000 euro un nepārsniedz 500 000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14.punkta esošās redakcijas ir pārprotams summas apjoms, kas piešķirams katrai pašvaldība (piemēram, nav skaidrs, uz ko attiecas 33 milj. EUR daļa, kā arī iespējams interpretēt, katrai pašvaldībai papildus finansējuma apmēru), lūdzam precizēt noteikumu projekta punktu, piemēram, sadalot to divos atsevišķos punktos. Pirmkārt, nodalot principu, ka finansējums kā tāds ir sadalīts divos blokos (t.sk. norādot gan kopējo, gan Eiropas Reģionālās attīstības fonda, gan nacionālā līdzfinansējuma daļu katram no blokiem). Otrkārt, atrunājot naudas sadales principu investīciju blokos.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vārdu “plānotā” ar “pieejamā” atbilstoši noteikumu projekta 5.punktā minētajam, ka netiek plānots elastības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5. punktā minēto Eiropas Reģionālā attīstības fonda finansējumu sadala šo noteikumu 11. punktā minētajiem projektu iesniedzējiem, ievērojot šādus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15. punktā minētā pašvaldība sagatavo projekta iesniegumu atbilstoši projektu iesniegumu atlases nolikumā noteiktajām prasībām un šo noteikumu 15. punktā minētā uzaicinājuma noteiktajā termiņā iesniedz to sadarbības iestādē, izmantojot Kohēzijas politikas fondu vadības informācijas sistēmu. Iesniedzot projekta iesniegumu sadarbības iestādē, pašvaldība kļūst par projekta iesniedzēju.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 punkta otro teikumu, ņemot vērā, ka minētais regulējums izriet no Eiropas Savienības fondu 2021.—2027. gada plānošanas perioda vadības likuma 1. panta 5.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15. punktā minētā pašvaldība sagatavo projekta iesniegumu atbilstoši projektu iesniegumu atlases nolikumā noteiktajām prasībām un šo noteikumu 15. punktā minētā uzaicinājuma noteiktajā termiņā iesniedz to sadarbības iestādē, izmantojot Kohēzijas politikas fondu vadības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17. punktā minētā pašvaldība sagatavo projekta iesniegumu atbilstoši projektu iesniegumu atlases nolikumā noteiktajām prasībām un šo noteikumu 17. punktā minētajā uzaicinājumā noteiktajā termiņā iesniedz to sadarbības iestādē, izmantojot Kohēzijas politikas fondu vadības informācijas sistēmu.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otrās projektu iesniegumu atlases kārtas ietvaros tiek apstiprināts projekta iesniegums, kas cita starpā, 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17.2. un 17.3. punktā definētos kritērijus pārcelt uz īstenošanas sadaļas nosacījumiem (IV nodaļu), definējot kā izpildes progresa kontrolkritērijus. Vēršam uzmanību, ka šādi kritēriji nav izvērtējami pie atlases nosacījumiem, t.i. balstās uz nākotnes solījumiem, nevis uz projekta iesnieguma iesniegšanas brīdi pārbaudāmiem faktiem. Lūdzam skatīt kontekstā ar Apakškomitejā iesniegtajiem kritērijiem un Centrālās finanšu un līgumu aģentūras izteiktajiem komentāriem par kritēriju komplektu.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precizēti 19.punkta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otrās projektu iesniegumu atlases kārtas ietvaros tiek apstiprināts projekta iesniegums, kas cita starpā, atbilst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 ir uzsākta iepirkuma procedūra par vismaz vienas projekta būves projektēšanas darbiem vai ir uzsākta iepirkuma procedūra par apvienotu projektēšanu un būvdarbiem par vismaz vienu projekta būvi, un ir iesniegts iepērkamā aprīkojuma saraksts ar veiktu aprīkojuma iegādes izmaksu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sniegt papildu precizējošu informāciju par nosacījuma izpildi projekta gatavības pakāpei, t.i., “..ir uzsākta iepirkuma procedūra..”, norādot, kāds dokumentus kopums / sniegtā informācija pamatos iepriekš minēto nosacījumu - vai ar to tiek saprasts, ka tiek uzsākta iepirkuma dokumentācijas sagatavošana, sagatavota iepirkuma dokumentācija vai izsludināts iepirkums vai cits iepirkuma procedūras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nosacījums nozīmē, ka ir izsludināts iepirkums.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ir uzsākta iepirkuma procedūra par vismaz vienas projekta būves projektēšanas darbiem vai ir uzsākta iepirkuma procedūra par apvienotu projektēšanu un būvdarbiem par vismaz vienu projekta būvi, un ir iesniegts iepērkamā aprīkojuma saraksts ar veiktu aprīkojuma iegādes izmaksu aprēķinu, ja aprīkojuma iegāde ir ieplānota;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III nodaļu ar nosacījumu, ka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atbilstoši vadošās iestādes vadlīniju Nr.1.2. "Vadlīnijas attiecināmo izmaksu noteikšanai Eiropas Savienības kohēzijas politikas programmas 2021.-2027.gada plānošanas periodā" 10.2.apakšpunktā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dabaszinātņu (dabaszinības (1. -6. klasei), ķīmijas, bioloģijas, fizikas, dizains un tehnoloģijas, inženierzinības, ģeogrāfija) un matemātikas kabinetu (tai skaitā praktisko darbu telpu) pārbūve, atjaunošana, izveide vai pilnveide;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projekta ietvaros ir atbalstāmas darbības un attiecināmas izmaksas tikai par 21.4.apakšpunktā minēto mācību telpu pārbūvi, atjaunošanu, izveidi vai pilnveidi, vai tomēr ir atbalstāmas un attiecināmas darbības un izmaksas citās mācību telpās, atbilstoši 22.2.1.apakšpunktam un 22.2.4.apakšpunktā noteiktajam "Ja projekta īstenošanas rezultātā paredzēta visu projektā atbalstāmās vispārējās izglītības iestādes klašu telpu mācību vides uzlabošana, [..]". Lūdzam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ietvaros ir  atbalstāmas darbības un attiecināmas izmaksas visās mācību telpās, aicinām izvērtēt, vai ir nepieciešams atsevišķi izdalīt 21.4.apakšpunktā noteiktās mācību telpas.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projekta ietvaros ir atbalstāmas visu mācību telpu pārbūve, atjaunošana, izveide vai pilnveide. Definējot atbalstāmās darbības, specifiski tiek akcentēti ieguldījumi dabaszinātņu (dabaszinības (1. -6. klasei), ķīmijas, bioloģijas, fizikas, dizains un tehnoloģijas, inženierzinības, ģeogrāfija) un matemātikas kabinetu (tai skaitā praktisko darbu telpu) pārbūvē, atjaunošanā, izveidē vai pilnveidē, nosakot arī izmaksu ierobežojumus, balstoties uz investīciju virziena.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precizēta 22.5.apakšpunta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dabaszinātņu (dabaszinības (1. -6. klasei), ķīmijas, bioloģijas, fizikas, dizains un tehnoloģijas, inženierzinības, ģeogrāfija) un matemātikas kabinetu (tai skaitā praktisko darbu telpu) pārbūve, atjaunošana, izveide vai pilnveide;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otrās projektu iesniegumu atlases kārtas ietvaros ir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noteikumu projekta 20.punktā ir tiešās attiecināmās projekta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otrās projektu iesniegumu atlases kārtas ietvaros tiešās attiecināmās izmaksas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22.2.2. gaiteņu un  sanitāro  mezglu  pārbūves  un  atjaunošanas  izmaksas,  ja  tiek  īstenoti  šo  noteikumu 20.2.1. apakšpunktā minētie darbi;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20.2.1.apakšpunktu, jo noteikumu projektā šāda apakšpunkta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22.2.2. gaiteņu un  sanitāro  mezglu  pārbūves  un  atjaunošanas  izmaksas,  ja  tiek  īstenoti  šo  noteikumu 22.2.1. apakšpunktā minētie darbi;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iekšējo inženiertīklu (iekšējo elektrotīklu,  apkures  sistēmu,  vēdināšanas  un gaisa kondicionēšanas sistēmu,    ūdensvada    tīklu,    kanalizācijas    tīklu,    automātisko    ugunsgrēka atklāšanas, video novērošanas sistēmas, tostarp video novērošanas kameras, balss apziņošanas  sistēmas, trauksmes signalizācijas un automātiskās balss ugunsgrēka izziņošanas sistēmu) izbūves un pārbūves izmaksas. Minētās izmaksas plāno kā papildinošas šo noteikumu 20.2.1. un 20.2.2. apakšpunktā minētajām izmaksām, un tās nepārsniedz 25 procentus no šo noteikumu 20.2.1. un 20.2.2. apakšpunktā minētajām būvdarbu attiecināmajām izmaksām. Ja projekta īstenošanas rezultātā paredzēta visu projektā atbalstāmās vispārējās izglītības iestādes klašu telpu mācību vides uzlabošana, iekšējo inženiertīklu izbūves un pārbūves izmaksas, izņemot vēdināšanas un gaisa kondicionēšanas sistēmu izbūves un pārbūves izmaksas, tās nepārsniedz 25 procentus no projekta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interpretācijas un nodrošinātu skaidrību par piemērošanas algoritmu, lūdzam precizēt redakciju, papildinot ar norādi, ka 25% aprēķina no projekta </w:t>
            </w:r>
            <w:r w:rsidR="00000000" w:rsidRPr="00000000" w:rsidDel="00000000">
              <w:rPr>
                <w:b w:val="1"/>
                <w:rtl w:val="0"/>
              </w:rPr>
              <w:t xml:space="preserve">kopējām </w:t>
            </w:r>
            <w:r w:rsidR="00000000" w:rsidRPr="00000000" w:rsidDel="00000000">
              <w:rPr>
                <w:rtl w:val="0"/>
              </w:rPr>
              <w:t xml:space="preserve">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iekšējo inženiertīklu (iekšējo elektrotīklu,  apkures  sistēmu,  vēdināšanas  un gaisa kondicionēšanas sistēmu,    ūdensvada    tīklu,    kanalizācijas    tīklu,    automātisko    ugunsgrēka atklāšanas, video novērošanas sistēmas, tostarp video novērošanas kameras, balss apziņošanas  sistēmas, trauksmes signalizācijas un automātiskās balss ugunsgrēka izziņošanas sistēmu) izbūves un pārbūves izmaksas. Minētās izmaksas plāno kā papildinošas šo noteikumu 20.2.1. un 20.2.2. apakšpunktā minētajām izmaksām, un tās nepārsniedz 25 procentus no šo noteikumu 20.2.1. un 20.2.2. apakšpunktā minētajām būvdarbu attiecināmajām izmaksām. Ja projekta īstenošanas rezultātā paredzēta visu projektā atbalstāmās vispārējās izglītības iestādes klašu telpu mācību vides uzlabošana, iekšējo inženiertīklu izbūves un pārbūves izmaksas, izņemot vēdināšanas un gaisa kondicionēšanas sistēmu izbūves un pārbūves izmaksas, tās nepārsniedz 25 procentus no projekta </w:t>
            </w:r>
            <w:r w:rsidR="00000000" w:rsidRPr="00000000" w:rsidDel="00000000">
              <w:rPr>
                <w:b w:val="1"/>
                <w:rtl w:val="0"/>
              </w:rPr>
              <w:t xml:space="preserve">kopējām </w:t>
            </w:r>
            <w:r w:rsidR="00000000" w:rsidRPr="00000000" w:rsidDel="00000000">
              <w:rPr>
                <w:rtl w:val="0"/>
              </w:rPr>
              <w:t xml:space="preserve">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22.2.4. iekšējo inženiertīklu (iekšējo elektrotīklu,  apkures  sistēmu,  vēdināšanas  un gaisa kondicionēšanas sistēmu,    ūdensvada    tīklu,    kanalizācijas    tīklu,    automātisko    ugunsgrēka atklāšanas, video novērošanas sistēmas, tostarp video novērošanas kameras, balss apziņošanas  sistēmas, trauksmes signalizācijas un automātiskās balss ugunsgrēka izziņošanas sistēmu) izbūves un pārbūves izmaksas. Minētās izmaksas, izņemot vēdināšanas un gaisa kondicionēšanas sistēmu izbūves un pārbūves izmaksas, plāno kā papildinošas šo noteikumu 22.2.1., 22.2.2. un 22.5. apakšpunktā minētajām izmaksām, un tās nepārsniedz 25 procentus no šo noteikumu 22.2.1.,  22.2.2. un 22.5. apakšpunktā minētajām būvdarbu attiecināmajām izmaksām. Ja projekta īstenošanas rezultātā paredzēta visu projektā atbalstāmās vispārējās izglītības iestādes klašu telpu mācību vides uzlabošana, iekšējo inženiertīklu izbūves un pārbūves izmaksas, izņemot vēdināšanas un gaisa kondicionēšanas sistēmu izbūves un pārbūves izmaksas, nepārsniedz 25 procentus no projekta kopējām attiecināmajām izmaksām;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informācijas un komunikācijas tehnoloģiju risinājumu ieviešanas izmaksas, tai skaitā bezvadu interneta un interneta pieslēguma izveides izmaksas, mācību procesa nodrošināšanai nepieciešamā aprīkojuma un programmatūras iegādes izmaksas. Plānojot bezvadu interneta un interneta pieslēguma izveides izmaksas, projekta iesniedzējs ņem vērā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projekta ietvaros veiktās priekšizpētes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dubultā finansējuma risku, lūdzam papildināt punktu ar nosacījumu, ka finansējuma saņēmējs nodrošina izmaksu nepārklāšanos ar 2.3.2.3.i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komunikācijas tehnoloģiju risinājumu ieviešanas izmaksas, tai skaitā bezvadu interneta un interneta pieslēguma izveides izmaksas, mācību procesa nodrošināšanai nepieciešamā aprīkojuma un programmatūras iegādes izmaksas. Plānojot bezvadu interneta un interneta pieslēguma izveides izmaksas, projekta iesniedzējs ņem vērā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w:t>
            </w:r>
            <w:r w:rsidR="00000000" w:rsidRPr="00000000" w:rsidDel="00000000">
              <w:rPr>
                <w:b w:val="1"/>
                <w:rtl w:val="0"/>
              </w:rPr>
              <w:t xml:space="preserve">(turpmāk- 2.3.2.3.i investīcija)</w:t>
            </w:r>
            <w:r w:rsidR="00000000" w:rsidRPr="00000000" w:rsidDel="00000000">
              <w:rPr>
                <w:rtl w:val="0"/>
              </w:rPr>
              <w:t xml:space="preserve"> projekta ietvaros veiktās priekšizpētes rezultātus. </w:t>
            </w:r>
            <w:r w:rsidR="00000000" w:rsidRPr="00000000" w:rsidDel="00000000">
              <w:rPr>
                <w:b w:val="1"/>
                <w:rtl w:val="0"/>
              </w:rPr>
              <w:t xml:space="preserve">Finansējuma saņēmējs nodrošina izmaksu nepārklāšanos ar 2.3.2.3.i investīciju.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informācijas un komunikācijas tehnoloģiju risinājumu ieviešanas izmaksas, tai skaitā bezvadu interneta un interneta pieslēguma izveides izmaksas, mācību procesa nodrošināšanai nepieciešamā aprīkojuma un programmatūras iegādes izmaksas. Plānojot bezvadu interneta un interneta pieslēguma izveides izmaksas, projekta iesniedzējs ņem vērā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(turpmāk - 2.3.2.3.i investīcija) projekta ietvaros veiktās priekšizpētes rezultātus. Finansējuma saņēmējs nodrošina izmaksu nepārklāšanos ar 2.3.2.3.i investīciju. Datortehnikas iegāde pedagogiem un atbalsta personālam nav attiecināma;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dabaszinātņu (ķīmijas, bioloģijas, fizikas) un matemātikas kabinetu (tai skaitā praktisko darbu telpu) izveides vai pilnveides izmaksas un šo kabinetu aprīkojuma un inventāra iegādes izmaksas vismaz 20 procenti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anotāciju ar skaidrojumu, ka kabinetu aprīkojumos neietilpst aprīkošana ar viedierīcēm un tehnoloģijām, nodrošinot skaidru attiecināmo izmaksu nodalījumu 20.4. un 20.5. punktu ietvarā. Šādi tiks nodrošināta mērķtiecīga STEM materiāltehniskās bāzes atjaunošana pilnveidotā satura apguvei.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vai precizēt anotācijā, kāds aprīkojums attiecināms uz matemātiku 20.5. darbības ietvaros un iekļaut skaidrojumu / pamatojumu attiecīgi ģeogrāfijas izslēgšanai no dabaszinātņu mācību priekšmetu grupas.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dabaszinātņu (dabaszinības (1. -6. klasei), ķīmijas, bioloģijas, fizikas, dizains un tehnoloģijas, inženierzinības, ģeogrāfija) un matemātikas kabinetu (tai skaitā praktisko darbu telpu) izveides vai pilnveides izmaksas, tai skaitā telpu pārbūves un atjaunošanas izmaksas, un šādu kabinetu un šo kabinetu aprīkojuma un inventāra iegādes izmaksas vismaz 20 procenti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energosertifikācijas, ekspertīzes un izpētes izmaksas, ja to veikšana ir priekšnosacījums, lai izstrādātu būvprojektu, būvdarbu ieceres dokumentāciju vai būvprojektu minimālā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definēt piemērus, kas traktējams zem termina "izpētes izmaksas", lai nodrošinātu, ka netiek pieļautas interpretācijas zem šo izmaksu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 energosertifikācijas, ekspertīzes un izpētes izmaksas, ja to veikšana ir priekšnosacījums, lai izstrādātu būvprojektu, būvdarbu ieceres dokumentāciju vai būvprojektu minimālā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nodokļa maksājumi, kas tiešā veidā saistīti ar projektu, uzskatāmi par attiecināmām izmaksām saskaņā ar 2021. gada 24. jūnija Eiropas Parlamenta un padomes Regulas (ES) Nr. 2021/1060  (turpmāk - regula Nr. 2021/1060) 64. panta 1. punkta “c” apakšpunktā ietvertajiem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Regulas 2021/1060 64. panta 1. punkta "c" apakšpunkta "i" punkta izriet, ka darbībām (t.i. projektiem), </w:t>
            </w:r>
            <w:r w:rsidR="00000000" w:rsidRPr="00000000" w:rsidDel="00000000">
              <w:rPr>
                <w:u w:val="single"/>
                <w:rtl w:val="0"/>
              </w:rPr>
              <w:t xml:space="preserve">kuru kopējās izmaksas ir mazākas nekā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w:t>
            </w:r>
            <w:r w:rsidR="00000000" w:rsidRPr="00000000" w:rsidDel="00000000">
              <w:rPr>
                <w:rtl w:val="0"/>
              </w:rPr>
              <w:t xml:space="preserve">; savukārt no "ii" punkta izriet, ka darbībām (t.i. projektiem), </w:t>
            </w:r>
            <w:r w:rsidR="00000000" w:rsidRPr="00000000" w:rsidDel="00000000">
              <w:rPr>
                <w:u w:val="single"/>
                <w:rtl w:val="0"/>
              </w:rPr>
              <w:t xml:space="preserve">kuru kopējās izmaksas ir vismaz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 gadījumos, kad tas nav atgūstams saskaņā ar pievienotās vērtības nodokli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nepieciešamību precizēt noteikumu projekta 21. punktu, ja varētu tikt īstenoti projekti,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ka, lai novērstu dubultā finansējuma risku, finansējuma saņēmējs nodrošina finanšu plūsmas  uzskatāmu nodalīšanu (tai skaitā pievienotās vērtības nodokļa izmaksu uzskaiti) no citām finansējuma saņēmēja darbības finanšu plūsmām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Pievienotās vērtības nodokļa maksājumi, kas tiešā veidā saistīti ar projektu, uzskatāmi par attiecināmām izmaksām, vienlaikus ievērojot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ir attiecināmas no šo noteikumu spēkā stāšanās dienas, izņemot šo noteikumu 20.10., 20.11., 20.12. apakšpunktā minētās izmaksas, kas ir attiecināmas, ja tās veiktas, sākot ar 2023. gada 1. janvāri.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22.punktu, ka nedrīkst attiecināt uz projekta iesnieguma iesniegšanas brīdi pabeigtas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Izmaksas ir attiecināmas no šo noteikumu spēkā stāšanās dienas, izņemot šo noteikumu 22.10., 22.11., 22.12. apakšpunktā minētās izmaksas, kas ir attiecināmas, ja tās veiktas, sākot ar 2023. gada 1. janvāri. Izmaksas par darbībām, kuras tiek pabeigtas līdz projekta iesnieguma iesniegšanai sadarbības iestādē, nav attiecināmas.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Izmaksas ir attiecināmas no šo noteikumu spēkā stāšanās dienas, izņemot šo noteikumu 20.10., 20.11., 20.12. apakšpunktā minētās izmaksas, kas ir attiecināmas, ja tās veiktas, sākot ar 2023. gada 1. janvāri. Izmaksas par darbībām, kuras tiek pabeigtas līdz investīcijas projekta iesnieguma apstiprināšanai, nav attiecināmas.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Lai nodrošinātu viennozīmīgu normas izpratni, lūdzam svītrot noteikumu projekta 23. punktā vārdu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noteikumu projekta 23.punktā vārdu “apstiprināšanai” ar vārdiem “iesniegšanai sadarbības iestādē”. Skaidrojam, ka no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6. punkta izriet, ka darbības atbalsta saņemšanai no fondiem neatlasa, ja tās ir faktiski pabeigtas vai pilnībā īstenotas, pirms ir iesniegts pieteikums par finansējumu atbilstoši programmai, neatkarīgi no tā, vai ir veikti visi saistītie maksājumi.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Izmaksas ir attiecināmas no šo noteikumu spēkā stāšanās dienas, izņemot šo noteikumu 22.10., 22.11., 22.12. apakšpunktā minētās izmaksas, kas ir attiecināmas, ja tās veiktas, sākot ar 2023. gada 1. janvāri. Izmaksas par darbībām, kuras tiek pabeigtas līdz projekta iesnieguma iesniegšanai sadarbības iestādē, nav attiecināmas.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otrās projektu iesniegumu atlases kārtas ietvaros ieguldījumus veic finansējuma saņēmēja īpašumā esošajā infrastruktūrā. Informācijas un komunikācijas tehnoloģiju ieguldījumi plānoti finansējuma saņēmēja īpašumā esošajos digitālajos risinājumos, tai skaitā pēc ieguldījumu veikšanas finansējuma saņēmēja īpašumā atradīsies pirmkodi, intelektuālā īpašuma tiesības, tai skaitā risinājuma modificēšanas tiesības, lai novērstu gadījumus, kad tiek kropļota konkurence, veicot publiskus ieguldījumus kāda konkrēta komersanta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plānotās investīcijas, to tvērumu un nepieciešamību papildināt noteikumu projektu ar izņēmuma gadījumu, ka izveidotā infrastruktūra, piemēram, optiskā interneta tīkla kabelis, var palikt komersanta īpašumā, ja infrastruktūru pēc tās izbūves izmanto tikai finansējuma saņēmējs, šādu nosacījumu atrunājot starp finansējuma saņēmēju un komersantu noslēgtajā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veicot projektu uzraudzību 2014.-2020.gada plānošanas periodā, sadarbības iestāde ir saskārusies ar situāciju, ka komersants, kurš nodrošina optiskā interneta pakalpojumu sniegšanu, ir noraidošs pret iespēju finansējuma saņēmējam pasūtīt un organizēt optiskā interneta kabeļa ievilkšanu, pamatojot ar to, ka šie darbi ir ļoti specifiski un komersants sadarbojas tikai ar konkrētu apakšuzņēmēju, kas veic šādas infrastruktūras izbūvi. Pēc infrastruktūras izbūves tā paliek komersanta īpašumā vai tiek nodota bezatlīdzības lietošanā, neskatoties uz to, ka infrastruktūras izbūves izmaksas sedz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šādi gadījumi tiks vērtēti individuāli atbilstoši šajā noteikumu projektā un citos normatīvajos aktos noteiktajām prasībām, tostarp Elektronisko sakaru likuma 30.panta pirmo daļu, ka īpašuma, lietojuma vai apbūves tiesību iegūšana attiecībā uz publisko elektronisko sakaru tīklu nav jānodrošina, jo elektronisko sakaru pakalpojumu sniegšanai par labu publiskā elektronisko sakaru tīkla komersantam ir noteikts nekustamā īpašuma lietošanas tiesību aprobežojums.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Pasākuma otrās projektu iesniegumu atlases kārtas ietvaros ieguldījumus veic finansējuma saņēmēja īpašumā vai valdījumā esošā īpašumā, uz kuru tiesības ir nostiprinātas zemesgrāmatā. Informācijas un komunikācijas tehnoloģiju ieguldījumi plānoti finansējuma saņēmēja īpašumā esošajos digitālajos risinājumos, tai skaitā pēc ieguldījumu veikšanas finansējuma saņēmēja īpašumā atradīsies pirmkodi, intelektuālā īpašuma tiesības, tai skaitā risinājuma modificēšanas tiesības, lai novērstu gadījumus, kad tiek kropļota konkurence, veicot publiskus ieguldījumus kāda konkrēta komersanta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otrās projektu iesniegumu atlases kārtas ietvaros ieguldījumus veic finansējuma saņēmēja īpašumā esošajā infrastruktūrā. Informācijas un komunikācijas tehnoloģiju ieguldījumi plānoti finansējuma saņēmēja īpašumā esošajos digitālajos risinājumos, tai skaitā pēc ieguldījumu veikšanas finansējuma saņēmēja īpašumā atradīsies pirmkodi, intelektuālā īpašuma tiesības, tai skaitā risinājuma modificēšanas tiesības, lai novērstu gadījumus, kad tiek kropļota konkurence, veicot publiskus ieguldījumus kāda konkrēta komersanta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noteikumu projekts ir attiecināms uz infrastruktūru, tad noteikumu projektā iekļauj nosacījumu par finansējuma saņēmēja tiesībām uz konkrēto objektu vai īpašumu, kurā plānots veikt ieguldījumus (īpašumā, ilgtermiņa nomā vai nodibinātas apbūves tiesības, bezatlīdzības lietošanā, valdījumā, turējumā u.c.).</w:t>
            </w:r>
            <w:r w:rsidR="00000000" w:rsidRPr="00000000" w:rsidDel="00000000">
              <w:rPr>
                <w:u w:val="single"/>
                <w:rtl w:val="0"/>
              </w:rPr>
              <w:t xml:space="preserve"> Finansējuma saņēmēja tiesībām uz konkrēto objektu vai īpašumu jābūt nostiprinātām Zemesgrāmatā</w:t>
            </w:r>
            <w:r w:rsidR="00000000" w:rsidRPr="00000000" w:rsidDel="00000000">
              <w:rPr>
                <w:rtl w:val="0"/>
              </w:rPr>
              <w:t xml:space="preserve"> (ja attiecināms). Ja minētajam nosacījumam saskaņā ar nacionālo regulējumu ir izņēmums, tas attiecīgi aprakstāms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25. punktu vai anotāciju ar norādi, ka finansējuma saņēmēja tiesības uz konkrēto infrastruktūru ir nostiprinātas Zemesgrāmatā, vai sniegt atbilstošu skaidrojumu gadījumā, ja minētajam nosacījumam saskaņā ar nacionālo regulējumu ir noteikts izņēmums.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projektu iesniegumu atlases kārtas ietvaros ieguldījumus veic finansējuma saņēmēja īpašumā, uz kuru tiesības ir nostiprinātas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Pasākuma otrās projektu iesniegumu atlases kārtas ietvaros ieguldījumus veic finansējuma saņēmēja īpašumā vai valdījumā esošā īpašumā, uz kuru tiesības ir nostiprinātas zemesgrāmatā. Informācijas un komunikācijas tehnoloģiju ieguldījumi plānoti finansējuma saņēmēja īpašumā esošajos digitālajos risinājumos, tai skaitā pēc ieguldījumu veikšanas finansējuma saņēmēja īpašumā atradīsies pirmkodi, intelektuālā īpašuma tiesības, tai skaitā risinājuma modificēšanas tiesības, lai novērstu gadījumus, kad tiek kropļota konkurence, veicot publiskus ieguldījumus kāda konkrēta komersanta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Pasākuma otrās projektu iesniegumu atlases kārtas ietvaros ieguldījumus veic finansējuma saņēmēja īpašumā, uz kuru tiesības ir nostiprinātas zemesgrāmatā. Informācijas un komunikācijas tehnoloģiju ieguldījumi plānoti finansējuma saņēmēja īpašumā esošajos digitālajos risinājumos, tai skaitā pēc ieguldījumu veikšanas finansējuma saņēmēja īpašumā atradīsies pirmkodi, intelektuālā īpašuma tiesības, tai skaitā risinājuma modificēšanas tiesības, lai novērstu gadījumus, kad tiek kropļota konkurence, veicot publiskus ieguldījumus kāda konkrēta komersanta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noteikumu projekta 30.punktu ar īpašuma tiesību formu - valdījuma tiesības, lai ieguldījumus īpašumā varētu veikt arī tad, ja pašvaldības izglītības iestādes teritorija vai teritorijā esošs objekts, vai pati izglītības iestāde nav pašvaldības īpašums, bet pašvaldībai ir valdījuma tiesības uz šo objektu. Lūdzam atbilstošus precizējumus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Pasākuma otrās projektu iesniegumu atlases kārtas ietvaros ieguldījumus veic finansējuma saņēmēja īpašumā, uz kuru tiesības ir nostiprinātas zemesgrāmatā</w:t>
            </w:r>
            <w:r w:rsidR="00000000" w:rsidRPr="00000000" w:rsidDel="00000000">
              <w:rPr>
                <w:b w:val="1"/>
                <w:rtl w:val="0"/>
              </w:rPr>
              <w:t xml:space="preserve">, vai valdījumā esošā īpašumā.</w:t>
            </w:r>
            <w:r w:rsidR="00000000" w:rsidRPr="00000000" w:rsidDel="00000000">
              <w:rPr>
                <w:rtl w:val="0"/>
              </w:rPr>
              <w:t xml:space="preserve"> Informācijas un komunikācijas tehnoloģiju ieguldījumi plānoti finansējuma saņēmēja īpašumā esošajos digitālajos risinājumos, tai skaitā pēc ieguldījumu veikšanas finansējuma saņēmēja īpašumā atradīsies pirmkodi, intelektuālā īpašuma tiesības, tai skaitā risinājuma modificēšanas tiesības, lai novērstu gadījumus, kad tiek kropļota konkurence, veicot publiskus ieguldījumus kāda konkrēta komersanta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anotācija ir papildināta ar papildu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Pasākuma otrās projektu iesniegumu atlases kārtas ietvaros ieguldījumus veic finansējuma saņēmēja īpašumā vai valdījumā esošā īpašumā, uz kuru tiesības ir nostiprinātas zemesgrāmatā. Informācijas un komunikācijas tehnoloģiju ieguldījumi plānoti finansējuma saņēmēja īpašumā esošajos digitālajos risinājumos, tai skaitā pēc ieguldījumu veikšanas finansējuma saņēmēja īpašumā atradīsies pirmkodi, intelektuālā īpašuma tiesības, tai skaitā risinājuma modificēšanas tiesības, lai novērstu gadījumus, kad tiek kropļota konkurence, veicot publiskus ieguldījumus kāda konkrēta komersanta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Sadarbības iestāde  projekta  īstenošanas  laikā  un  projekta  dzīves  cikla  laikā (10  gadi) atbilstoši Izglītības un zinātnes ministrijas izstrādātajai papildinošas saimnieciskās darbības uzraudzības metodikai nodrošina  papildinošas  saimnieciskās darbības uzraudzību projekta uzlabotajai infrastruktūrai.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papildinošas saimnieciskās darbības uzraudzībā, aicinām ieviest papildinošās saimnieciskās darbības pašdeklarēšanās principu, t.i. paredzot, ka finansējuma saņēmējs visā projekta dzīves ciklā sagatavo ikgadējus pārskatus par papildinošās saimnieciskās darbības un papildpakalpjumu apjomu un nodrošina šajā punktā minēto pārskatu un aprēķinus pamatojošo dokumentu pieejamību papildinošās saimnieciskās darbības un papildpakalpjumu uzraudzībai. Ja finansējuma saņēmējs konstatē, ka ir pārsniegts šo noteikumu 27. punktā minētais 20 procentu apjoms no infrastruktūras kopējās gada jaudas un/vai ka minētā infrastruktūra tiek izmantotas citai saimnieciskai darbībai, kas nav uzskatāma par papildinošu saimniecisku darbību, tas vienošanās par projekta īstenošanu noteiktajā termiņā iesniedz sadarbības iestādei ziņojumu par konstatēto šo noteikumu 27. punktā minēto nosacījumu pārkāpumu. Sadarbības iestādei ir tiesības finansējuma saņēmējam pieprasīt iesniegt papildinošās saimnieciskās darbības un papildpakalpjumu pārskatus projekta dzīves cikla laikā, tai skaitā gadījumos, kad saņemta informācija par papildinošās saimnieciskās darbības un papildpakalpjumu nosacījumu pārkāpumu no finansējuma saņēmēja, kompetentām iestādēm vai no trešajām personām. Attiecīgus labojumus lūdzam veikt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anotācijā norādīt, ka atbildīgā iestāde izstrādā papildinošās saimnieciskās darbības uzraudzības metodiku līdz projektu iesniegumu atlases izsludināšanai.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  projekta  īstenošanas  laikā  un  projekta  dzīves  cikla  laikā (10  gadi) atbilstoši Izglītības un zinātnes ministrijas izstrādātajai papildinošas saimnieciskās darbības uzraudzības metodikai nodrošina  papildinošas  saimnieciskās darbības uzraudzību projekta uzlabotajai infrastruktūrai.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sadarbības iestāde konstatē, ka ir pārkāptas šo noteikumu 26.  punktā minētās komercdarbības atbalsta kontroles normas, finansējuma saņēmējam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papildinošu saimniecisku darbību un papildpakalpojumu, aicinām precizēt noteikumu projekta punkta redakciju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dzīves cikla laikā tiek konstatēts, ka infrastruktūrā, par kuru iesniegts projekta iesniegums, tiek veikta saimnieciskā darbība, kas nav uzskatāma par papildpakalpojumu, vai tiek veikta papildinoša saimnieciskā darbība, kas pārsniedz šo noteikumu 27. punktā minēto apmēru, vai tiek veikta saimnieciskā darbība, kas nav uzskatāma par papildinošu saimniecisko darbību, finansējuma saņēmējs proporcionāli tai gada jaudas platības, laika vai finanšu izteiksmē daļai, par kuru kopumā ir konstatēts pārkāpums, atmaksā sadarbības iestādei visu nelikumīgi saņemto atbalstu kopā ar procentiem no finansējuma, kura avots nav publiskie līdzekļi,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visā projekta dzīves ciklā sagatavo ikgadējus pārskatus par papildinošās saimnieciskās darbības un papildpakalpojumu apjomu un nodrošina šajā punktā minēto pārskatu un aprēķinus pamatojošo dokumentu pieejamību papildinošās saimnieciskās darbības un papildpakalpojumu uzraudzībai. Ja finansējuma saņēmējs konstatē, ka ir pārsniegts šo noteikumu 32. punktā minētais 20 procentu apjoms no infrastruktūras kopējās gada jaudas un/vai ka minētā infrastruktūra tiek izmantotas citai saimnieciskai darbībai, kas nav uzskatāma par papildinošu saimniecisku darbību, tas vienošanās par projekta īstenošanu noteiktajā termiņā iesniedz sadarbības iestādei ziņojumu par konstatēto šo noteikumu 32. punktā minēto nosacījumu pārkāpumu. Sadarbības iestādei ir tiesības finansējuma saņēmējam pieprasīt iesniegt papildinošās saimnieciskās darbības un papildpakalpojumu pārskatus projekta dzīves cikla laikā, tai skaitā gadījumos, kad saņemta informācija par papildinošās saimnieciskās darbības un papildpakalpojumu nosacījumu pārkāpumu no finansējuma saņēmēja, kompetentām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trīs gadus pēc projekta īstenošanas informē sadarbības iestādi par būves ikgadējo enerģijas patēriņu (megavatstundas);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norādot, ka finansējuma saņēmējs informē sadarbības iestādi par enerģijas patēriņu arī pirms projekta īstenošanas, nodrošinot atbilstību Energoefektivitātes likuma 15.pantam, kā arī iespēju noteikt projekta īstenošanas rezultātā radušos enerģijas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pirms projekta īstenošanas, kā arī trīs gadus pēc projekta īstenošanas informē sadarbības iestādi par būves ikgadējo enerģijas patēriņu (megavatstundas);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nodrošina, ka visas preces un pakalpojumi tiks iepirkti atklātā, pārredzamā, nediskriminējošā un konkurenci nodrošinošā procedūrā, ievērojot publiskā iepirkuma procedūru regulējošos normatīvos aktus un, kur tas ir attiecināms, īsteno sociāli atbildīgus un inovatīvus publiskos iepirkumus, kā arī sekmē zaļā publiskā iepirkuma prasību ievērošanu atbilstoši normatīvajos aktos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29.8. apakšpunktu un ietvert tajā korektu atsauci uz normatīvajiem aktiem noteiktā jomā, ievērojot Ministru kabineta 2009. gada 3. februāra noteikumu Nr. 108 "Normatīvo aktu projektu sagatavošanas noteikumi" 137.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noteikumu projekta 21. punktā korekti atsaukties uz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ievērojot minēto Ministru kabineta noteikumu 172.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 nodrošina, ka visas preces un pakalpojumi tiks iepirkti atklātā, pārredzamā, nediskriminējošā un konkurenci nodrošinošā procedūrā, ievērojot publiskā iepirkuma procedūru regulējošos normatīvos aktus un, kur tas ir attiecināms, īsteno sociāli atbildīgus un inovatīvus publiskos iepirkumus, kā arī sekmē zaļā publiskā iepirkuma prasību ievērošanu saskaņā ar normatīvajiem aktiem par prasībām zaļajam publiskajam iepirkumam un to piemērošanas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projekta īstenošanas laikā nodrošina visu ar projekta īstenošanu saistīto dokumentu glabāšanu, tai skaitā projekta iesnieguma, jebkuru ar projektu saistīto sarakstes dokumentu, iepirkuma dokumentācijas, projekta līguma, veikto darbu, piegāžu un sniegto pakalpojumu apliecinošu dokumentu, veikto maksājumu apliecinošu dokumentu oriģinālu vai to atvasinājumu ar juridisko spēku;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sadarbības iestāde saskaņā ar noteikumu projekta 26.punktu nodrošina papildinošas saimnieciskās darbības uzraudzību projekta uzlabotajai infrastruktūrai projekta dzīves ciklā, lūdzam papildināt dokumentu glabāšanas termiņu ar projekta dzīves cikla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un </w:t>
            </w:r>
            <w:r w:rsidR="00000000" w:rsidRPr="00000000" w:rsidDel="00000000">
              <w:rPr>
                <w:b w:val="1"/>
                <w:rtl w:val="0"/>
              </w:rPr>
              <w:t xml:space="preserve">projekta dzīves cikla laikā</w:t>
            </w:r>
            <w:r w:rsidR="00000000" w:rsidRPr="00000000" w:rsidDel="00000000">
              <w:rPr>
                <w:rtl w:val="0"/>
              </w:rPr>
              <w:t xml:space="preserve"> nodrošina visu ar projekta īstenošanu saistīto dokumentu glabāšanu, tai skaitā projekta iesnieguma, jebkuru ar projektu saistīto sarakstes dokumentu, iepirkuma dokumentācijas, projekta līguma, veikto darbu, piegāžu un sniegto pakalpojumu apliecinošu dokumentu, veikto maksājumu apliecinošu dokumentu oriģinālu vai to atvasinājumu ar juridisko spēku.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35.10. projekta īstenošanas laikā un projekta dzīves cikla laikā nodrošina visu ar projekta īstenošanu saistīto dokumentu glabāšanu, tai skaitā projekta iesnieguma, jebkuru ar projektu saistīto sarakstes dokumentu, iepirkuma dokumentācijas, projekta līguma, veikto darbu, piegāžu un sniegto pakalpojumu apliecinošu dokumentu, veikto maksājumu apliecinošu dokumentu oriģinālu vai to atvasinājumu ar juridisko spēku;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Pēc  vienošanās  par  projekta  īstenošanu  noslēgšanas  sadarbības iestāde,  pamatojoties  uz  finansējuma  saņēmēja avansa pieprasījumu, nodrošina finansējuma saņēmējam avansa maksājumus, ievērojot, ka viens avansa maksājums nepārsniedz 30 procentus un avansa un starpposmu maksājumu kopsumma nepārsniedz 90 procentus no kopējā projektam piešķirtā Eiropas Reģionālās attīstības fonda finansējuma. Maksājuma pieprasījumu piešķirtā avansa maksājuma apmērā finansējuma saņēmējs iesniedz sadarbības iestādei saimnieciskā gada ietvaros, bet ne ilgāk kā sešu mēnešu laikā pēc avansa maksājuma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 viennozīmīgu normas interpretāciju, lūdzam precizēt noteikumu projekta 30.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Pēc vienošanās par projekta īstenošanu noslēgšanas sadarbības iestāde, pamatojoties uz finansējuma saņēmēja avansa pieprasījumu, nodrošina finansējuma saņēmējam avansa maksājumus, ievērojot, ka viens avansa maksājums nepārsniedz 30 procentus un avansa un starpposmu maksājumu kopsumma nepārsniedz 90 procentus no kopējā projektam piešķirtā Eiropas Reģionālās attīstības fonda finansējuma. </w:t>
            </w:r>
            <w:r w:rsidR="00000000" w:rsidRPr="00000000" w:rsidDel="00000000">
              <w:rPr>
                <w:b w:val="1"/>
                <w:rtl w:val="0"/>
              </w:rPr>
              <w:t xml:space="preserve">Maksājuma pieprasījumu piešķirtā avansa maksājuma apmērā finansējuma saņēmējs iesniedz sadarbības iestādei pēc avansa maksājuma saņemšanas sešu mēnešu laikā saimnieciskā gada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vienošanās  par  projekta  īstenošanu  noslēgšanas  sadarbības iestāde,  pamatojoties  uz  finansējuma  saņēmēja avansa pieprasījumu, nodrošina finansējuma saņēmējam avansa maksājumus, ievērojot, ka viens avansa maksājums nepārsniedz 30 procentus un avansa un starpposmu maksājumu kopsumma nepārsniedz 90 procentus no kopējā projektam piešķirtā Eiropas Reģionālās attīstības fonda finansējuma. Maksājuma pieprasījumu piešķirtā avansa maksājuma apmērā finansējuma saņēmējs iesniedz sadarbības iestādei pēc avansa maksājuma saņemšanas sešu mēnešu laikā saimnieciskā gada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sniedz sadarbības iestādei informāciju par šo noteikumu 33.2. apakšpunktā minētajiem horizontālo principu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33.2.apašpunktu, jo noteikumu projektā šāda apakšpunkta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sniedz sadarbības iestādei informāciju par šo noteikumu 35.2. apakšpunktā minētajiem horizontālā principa "Vienlīdzība, iekļaušana, nediskriminācija un pamattiesību ievērošana"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informē sadarbības iestādi par enerģijas patēriņu arī pirms projekta īstenošanas, nodrošinot atbilstību Energoefektivitātes likuma 15.pantam, kā arī iespēju noteikt projekta īstenošanas rezultātā radušos enerģijas samazinājumu, kā arī trīs gadus pēc projekta īstenošanas informē sadarbības iestādi par būves ikgadējo enerģijas patēriņu (megavatstundas);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Skaidrākai uztveramībai aicinām izteikt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pirms projekta īstenošanas, kā arī trīs gadus pēc projekta īstenošanas informē sadarbības iestādi par būves ikgadējo enerģijas patēriņu (megavatstundas);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pirms projekta īstenošanas, kā arī trīs gadus pēc projekta īstenošanas informē sadarbības iestādi par būves ikgadējo enerģijas patēriņu (megavatstundas);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nodrošina sasniegto rezultātu ilgtspēju vismaz piecus gadus pēc noslēguma maksājuma veikšanas, tajā skaitā pašvaldība nodrošina atbalstu saņēmušās vispārējās izglītības iestādes atbilstību kādam no šo noteikumu 1. pielikumā minētajiem kritērijiem, ievērojot šo noteikumu 2. pielikumā minētās pašvaldību iedalījuma grupas, tajā skaitā pašvaldība var pieņemt jaunus domes lēmumus vai veikt grozījumus iepriekš pieņemtajos domes lēmumos attiecībā uz atbalstam izvirzīto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noteikumu projekta 35.12. apakšpunkta mērķi un būtību attiecībā uz pašvaldības domes lēmumu pieņemšanu projektā sasniegto rezultātu ilgtspējas periodā. Proti, kas ir saprotams ar 35.12. apakšpunktā minēto, ka </w:t>
            </w:r>
            <w:r w:rsidR="00000000" w:rsidRPr="00000000" w:rsidDel="00000000">
              <w:rPr>
                <w:i w:val="1"/>
                <w:rtl w:val="0"/>
              </w:rPr>
              <w:t xml:space="preserve">pašvaldība var pieņemt jaunus domes lēmumus vai veikt grozījumus iepriekš pieņemtajos domes lēmumos attiecībā uz atbalstam izvirzīto izglītības iestādi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 1. punkta "c" apakšpunktā noteikts, ka </w:t>
            </w:r>
            <w:r w:rsidR="00000000" w:rsidRPr="00000000" w:rsidDel="00000000">
              <w:rPr>
                <w:i w:val="1"/>
                <w:rtl w:val="0"/>
              </w:rPr>
              <w:t xml:space="preserve">dalībvalsts atmaksā iemaksas, kas no fondiem saņemtas darbībai, tostarp investīcijas infrastruktūrā vai produktīvas investīcijas, ja piecu gadu laikā pēc galīgā maksājuma saņēmējam vai attiecīgā gadījumā laikposmā, kas paredzēts valsts atbalsta noteikumos, saistībā ar minēto darbību notiek būtiskas izmaiņas, kas ietekmē darbības veidu, mērķus vai īstenošanas nosacījumus, tādējādi traucējot tās sākotnējo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anotācijas 1.3. sadaļas apakšsadaļā "Risinājuma apraksts" norādīts, ka </w:t>
            </w:r>
            <w:r w:rsidR="00000000" w:rsidRPr="00000000" w:rsidDel="00000000">
              <w:rPr>
                <w:i w:val="1"/>
                <w:rtl w:val="0"/>
              </w:rPr>
              <w:t xml:space="preserve">piecus gadus pēc noslēguma maksājuma saņemšanas pašvaldība nodrošina atbalstu saņēmušo vispārējās izglītības iestāžu atbilstību šo noteikumu 1. pielikuma minētajiem kritērijiem, tajā skaitā, pašvaldība nepieņem jaunus vai neveic grozījumus iepriekš pieņemtajos domes lēmumos attiecībā uz atbalstam izvirzīto izglītības iestādi,</w:t>
            </w:r>
            <w:r w:rsidR="00000000" w:rsidRPr="00000000" w:rsidDel="00000000">
              <w:rPr>
                <w:rtl w:val="0"/>
              </w:rPr>
              <w:t xml:space="preserve"> kas neatbilst noteikumu projekta aktuālajai redakcijai. Ievērojot minēto, lūdzam anotācijā ietverto informāciju salāgot ar noteikumu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35.12. apakšpunkts un anotācija, tajā skaitā papildinot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nodrošina sasniegto rezultātu ilgtspēju vismaz piecus gadus pēc noslēguma maksājuma veikšanas, tai skaitā pašvaldība nodrošina atbalstu saņēmušās vispārējās izglītības iestādes atbilstību šo noteikumu 1. pielikuma 1., 3., 4., 5. punkta kritērijiem, ievērojot šo noteikumu 2. pielikumā minētās pašvaldību iedalījuma grupas.  Minētajā ilgtspējas periodā pašvaldība var pieņemt jaunus domes lēmumus vai veikt grozījumus iepriekš pieņemtajos domes lēmumos attiecībā uz atbalstu saņēmušo vispārējās izglītības iestādi, ievērojot nosacījumu par tās atbilstību šo noteikumu 1. pielikuma 1., 3., 4., 5. punkta kritērijiem un šo noteikumu 2. pielikumā minētās pašvaldību iedalījuma grupas.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Projektu īsteno saskaņā ar noslēgto vienošanos par projekta īstenošanu, bet ne ilgāk kā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anotācijā papildināt ar informāciju, kāpēc projektu īstenošanas gala termiņš tiek paredzēts 31.12.2027., ņemot vērā, ka iepirkumu un būvniecības process var ieilgt un tas var radīt vajadzību veikt īstenošanas Ministru kabineta noteikumu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iesniedzējs iesniedz vidējās gatavības projektus, kā arī atsevišķas izmaksas ir attiecināmas pirms projekta iesnieguma apstiprināšanas, ļaujot projekta iesniedzējam savlaicīgi uzsākt iepriekš paredzēto pašvaldības attīstības programmas investīciju plānā un pašvaldības attīstības programmā ieceru realizēšanu.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Projektu īsteno saskaņā ar noslēgto vienošanos par projekta īstenošanu, bet ne ilgāk kā līdz 2028.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administratīvo teritoriju un to teritoriālā iedalījuma vienību 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2. pielikuma nepieciešamību un, ja tāds ir nepieciešams, ietvert uz to atsauci noteikumu projekta atbilstošā normā.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2.pielikums ir saistīts ar 1.pielikumu. 2.pielikumā ir noteiktas pašvaldību administratīvi teritoriālā iedalījuma vienības, balstoties uz kura tiek vērtēta 1.pielikumā ietverto kritēriju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2.pielikumu ir ietverta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administratīvo teritoriju un to teritoriālā iedalījuma vienību dalījums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anotācijas tekstā, kur tas ir attiecināms uz infrastruktūru, vidi, aprīkojumu, pakalpojumu, izglītības saturu, attīstošu izglītību,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iekļauto informāciju, ka atsevišķos gadījumos pašvaldības var paredzēt investīcijas tikai vispārējās izglītības iestādes dienesta viesnīcas būvniecībā, pārbūvē vai atjaunošanā un/vai  vispārējās izglītības iestādes sporta infrastruktūras pārbūvē vai atjaunošanā, lūdzam paredzēt, ka šādu izņēmumu gadījumā tiek vērtēta investīciju/pašvaldību atbilstība izglītības iestāžu tīkla optimizācijas kritērijiem un/vai to nepieciešamība jaunā mācību satura ieviešanai. Lūdzam atbilstoši izvērtēt nepieciešamos precizējumu noteikumu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30.10.2024. tika saņemts Eiropas Komisijas jautājums par noteikumu projektā plānoto atbalstāmo darbību atbilstību Eiropas Savienības kohēzijas politikas programmas 2021. – 2027. gadam 4.2.1. specifiskā atbalsta mērķī iekļautajām atbalstāmajām darbībām un Izglītības un zinātnes ministrija skaidroja, ka investīcijām jānodrošina atbilstība skolu tīkla reformas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iesniedzējs plāno investīcijas izglītības iestādes dienesta viesnīcā vai izglītības iestādes sporta infrastruktūrā, kas ir daļa no izglītības iestādes. Attiecīgi, projekta iesniedzējs atbalstam izvirza konkrētu izglītības iestādi, kurā tiks veiktas investīcijas. Projektu iesniegumu vērtēšanas kritēriji paredz, ka projekta iesniegumā plānotās darbības atbilst projekta iesniedzēja pašvaldības attīstības programmas investīciju plānam un ir pamatotas pašvaldības attīstības programmā. Proti, piemēram, dienesta viesnīcas būvniecības vai sporta infrastruktūras uzlabojumu nepieciešamību pašvaldība jau ir izvērtējusi un ir paredzējusi pašvaldības plānošanas dokumentos. Tādējādi, projektu iesniegumu vērtēšanas komisija pārliecināsies, ka plānotās darbības atbilst pašvaldības plānošanas dokumentos minētajam. Papildu šim, projektu iesniegumu vērtēšanas kritēriji nosaka, ka atbalstam izvirzīta izglītības iestāde atbilst šī noteikuma projekta 1.pielikumā 1., 3., 4., 5. punktā minētājiem kritērijiem. Proti, izglītības iestādē ir nodrošināta skolu tīkla sakārtošanas nosacījumu izpilde, kas potenciāli norāda uz izglītības iestādes ilgtspēju un atbilst Izglītības un zinātnes ministrijas skaidrojumam, ka investīcijas tiks nodrošinātas izglītības iestādēm, kas nodrošina skolu tīkla sakārtošanas kritēriju izpildi. Projektu iesniegumu vērtēšanas kritēriji arī paredz izvērtēt projekta atbilstību atbalsta mērķim, kas ir noteikts noteikumu projekta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21. novembra sēdē apstiprinātā informatīvajā ziņojumā “Kompleksi risinājumi augstvērtīgai izglītības nodrošināšanai vispārējā pamata un vidējā izglītībā” ir noteikts, ka lai īstenotu izglītības sistēmas mērķi - nodrošināt ikvienam bērnam Latvijā neatkarīgi no viņu dzīvesvietas kvalitatīvu izglītību, kuru īsteno motivēti pedagogi ilgtspējīgā izglītības iestādē – katrā vispārējās izglītības iestādē jānodrošina tajā skaitā kvalitatīva infrastruktūru, kas iekļauj arī atbalsta infrastruktūru (piemēram, dienesta viesnīca).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nepieciešamību arī pamato Izglītības un zinātnes ministrijas veiktais pašvaldību vajadzību </w:t>
            </w:r>
            <w:r w:rsidR="00000000" w:rsidRPr="00000000" w:rsidDel="00000000">
              <w:rPr>
                <w:i w:val="1"/>
                <w:rtl w:val="0"/>
              </w:rPr>
              <w:t xml:space="preserve">par nepieciešamajām investīcijām izglītības infrastruktūras paplašināšanai un/vai dienesta viesnīcu celtniecībai</w:t>
            </w:r>
            <w:r w:rsidR="00000000" w:rsidRPr="00000000" w:rsidDel="00000000">
              <w:rPr>
                <w:rtl w:val="0"/>
              </w:rPr>
              <w:t xml:space="preserve"> apkopojums, kuru tā veica izpildot minētā informatīvā ziņojuma 2023.gada 21.jūnija protokollēmuma Nr.58, 66. §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priekšmets "Sports un veselība" ir veselības un fiziskās aktivitātes mācību jomas priekšmets saskaņā ar 2018. gada 27. novembra Ministru kabineta noteikumiem Nr.747 "Noteikumi par valsts pamatizglītības standartu un pamatizglītības programmu paraugiem". Attiecīgo prasmju apguvei un noteikto mācību sasniedzamo rādītāju sasniegšanai izmanto tajā skaitā skolas stadionu, atsaucoties uz mācību priekšmeta programmas paraugu, kas tika izstrādāts Valsts izglītības satura centra Eiropas Sociālā fonda projekta  Nr.8.3.1.1/16/I/002 "Kompetenču pieeja mācību saturā" ietvaros. Tādējādi, sporta infrastruktūra kopumā ir uzskatīta kā resurss mācību satura apguvei.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noteikumos minēto, ka atbalsts projekta īstenošanai netiek kvalificēts kā komercdarbības atbalsts, pieļaujot papildinošas saimnieciskas darbības, kā arī, ņemot vērā to, ka papildinošas saimnieciskas darbības var tikt veiktas tikai tādā infrastruktūrā, kurā pamatā tiek veikta nesaimnieciska darbība, tad, lai nodrošinātu izpratni, ka pasākuma ietvaros veiktās darbības kopumā ir uzskatāmas kā ar saimniecisko darbību nesaistītas, lūdzam papildināt anotāciju ar skaidrojumu, kādēļ pasākuma ietvaros veiktās darbības kopumā ir uzskatāmas kā ar saimniecisko darbību nesaistītas. Lūdzam skatīt, piemēram, Ministru kabineta 2023. gada 14. novembra noteikumu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sākotnējās ietekmes (ex-ante) novērtējuma ziņojumā (anotācijā) iekļauto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Skaidrai nosacījumu izpratnei lūdzam papildināt anotāciju, skaidrojot anotācijā iekļauto nosacījumu "Ja projekta iesniedzējs atbalstam izvirza šādu izglītības iestādi, tad par šo izglītības iestādi var iesniegt atsevišķo projekta iesniegumu." Lūdzam skaidrot, ko nozīmē - var iesniegt atsevišķu projekta iesniegumu,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paredzēts, ka viena pašvaldība var iesniegt vairākus projekta iesniegumus, ja projekta iesniedzējs atbalstam izvirza izglītības iestādi, kurā tiek veicināta iekļaujoša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paredzēts ka pašvaldība vienā projekta iesniegumā var pieprasīt atbalstu vairākām izglītības iestādēm, kurās tiek veicināta iekļaujoša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noteikts, ka </w:t>
            </w:r>
            <w:r w:rsidR="00000000" w:rsidRPr="00000000" w:rsidDel="00000000">
              <w:rPr>
                <w:i w:val="1"/>
                <w:rtl w:val="0"/>
              </w:rPr>
              <w:t xml:space="preserve">noteikumu projekta izstrādē tika vērtēta vienkāršoto izmaksu piemērošana, taču ievērojot Izglītības un zinātnes ministrijas pieredzi līdzīgu investīciju programmu ieviešanā, var pieņemt, ka pasākuma ietvaros īstenotajos projektos darbības un to apmēri katram finansējuma saņēmējam būs atšķirīgi - gan infrastruktūras, gan aprīkojuma ziņā. Līdz ar to, pasākuma ieviešanā netiek paredzēta vienkāršoto izmaksu piemērošana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25. punkta izriet, ka pie noteiktiem nosacījumiem (</w:t>
            </w:r>
            <w:r w:rsidR="00000000" w:rsidRPr="00000000" w:rsidDel="00000000">
              <w:rPr>
                <w:i w:val="1"/>
                <w:rtl w:val="0"/>
              </w:rPr>
              <w:t xml:space="preserve">ja projekta īstenošanas laikā stājas spēkā vienkāršoto izmaksu horizontālā metodika, kas ir obligāti piemērojama visiem Eiropas Savienības fondu 2021. –2027. gada plānošanas perioda projektiem vai atbildīgās iestādes izstrādāta un ar vadošo iestādi saskaņota vienkāršoto izmaksu metodika, kas piemērojama kārtā, tā tiek piemērota pasākuma otrās projektu iesniegumu atlases kārtas projekta īstenošanā</w:t>
            </w:r>
            <w:r w:rsidR="00000000" w:rsidRPr="00000000" w:rsidDel="00000000">
              <w:rPr>
                <w:rtl w:val="0"/>
              </w:rPr>
              <w:t xml:space="preserve">) varētu tikt piemērotas vienkāršotās izmaksas, lūdzam papildināt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informāciju, kas liecinās par sasniegtu nacionālā rādītāja vienību, ņemot vēra, ka informāciju par rādītāja sasniegšanu paredzēts aktualizēt pie katra maksājuma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informāciju par finansējuma sadalījumu pa intervences kodiem - intervences laukums, Finansējuma veids, Teritoriālie sasniegšanas mehānismi, ESF+ sekundārās tēmas un Dzimumu līdztiesība - , norādot intervences kodus un tam piemērojamo pasākuma fondu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uzstādījumu, lūdzam izvērtēt vienkāršoto izmaksu iespējami plašāku piemērošanu izmaksu pozīcijām. Ja piemērot vienkāršotās izmaksas papildus jau paredzētajam nav iespējams, lūdzam sniegt pamatojumu anotācijā, kāpēc 4.2.1.5.pasākumā nav iespējams piemērot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pamatojums anotācijas 1.3. 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ka 2.kārtai plānotais finansējums ir arī pieejamais finansējums, t.sk. norādot, ka netiek plānots elastības finansējums, norādot, ka tas tiek plānots citos 4.2.1.specifiskā atbalsta mērķa pasākumos un kārtās.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svītrot informāciju, ka attiecas uz rezultātu ilgtspēju attiecībā uz datortehniku (4.2.1.5.pasākuma 1.kārta) un attiecībā uz izņēmumu, kas minēts atsaucoties uz Regulas 2021/1060 65.pantu, ņemot vērā, ka tas nav attiecināms uz skolu reorganizāciju.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Izglītības un zinātnes ministriju, savukārt atbilstošajā apakšsadaļā "Ietekmes apraksts" svītrot šobrīd iekļauto informāciju un norādīt, ka Izglītības un zinātnes ministrija pildīs atbildīgās iestādes funkcijas, savukārt pašvaldības pildīs finansējuma saņēmēju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anotācijas 3.sadaļas 5.3.punktā norādīto finansiālo ietekmi uz pašvaldību budžetu 2025.un 2026.gadam, jo skaitliski nesakrīt ar iepriekšējās ailēs norādīto finansiālo ietekmi uz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projekta ietvaros personāla izmaksas netiek plānotas, lūdzam īsi papildināt anotāciju ar informāciju par resursiem, no kuriem plānots segt personāla izmaksas, t.sk. vai plānotajiem finansējuma saņēmējiem būs pietiekama kapacitāte, lai īstenotu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iespējas papildināt informācija par attiecīgās nozares/ jomas pārstāvošu biedrību, nodibinājumu, nevalstisko organizāciju iesaisti noteikumu projekta izstrādē, lai izpildītu Ministru prezidenta 2021.gada 7.septembra rezolūciju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tiek īstenota publiskā apspriede (skatīt: https://tapportals.mk.gov.lv/public_participation/f50c5545-e6fb-4067-b68d-5f4a3a28c3d2)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pasākuma 2.kārtas investīcijas atbilst Apvienoto Nāciju organizācijas Konvencijas par personu ar invaliditāti tiesībām prasībām, tostarp 4. un 5. vispārīgajam komentāram un Konvencijas par personu ar invaliditāti tiesībām komitejas noslēguma apsvērumiem vispārīgajiem principiem, cilvēktiesību prasībām, proti, Eiropas Savienības Pamattiesību hartai, Eiropas Sociālo tiesību pīlāram un Stratēģijai par personu ar invaliditāti tiesībām 2021.–2030. gadam, t.sk. ka kopumā veicot investīcijas nevar tikt veicināta nelabvēlīgākā situācijā esošu grupu segregācija/ izolācija.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[1] , iekļaujot specifiskās un vispārīgās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pasākuma ietvaros tiks īstenotas darbības, kas veicina personu ar invaliditāti vienlīdzīgām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tīmekļa vietnē, ja tāda ir,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projektēšanas laikā un pirms objekta nodošanas ekspluatācijā publiskajai infrastruktūrai tiks veikts vides un informācijas piekļūstamības pašnovērtējums, kur iegūto punktu skaits nav zemāks par 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būvnormatīvā LBN 200-21 noteiktajam, projekta  ietvaros tiks īstenotas labās prakses darbības, kas īpaši veicina vides piekļūstamību cilvēkiem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Tiktāl, ciktāl tas attiecas uz pasākuma ietvaros atbalstāmajām darbībām (skatīt anotācijas 8.1.9.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plānotajām investīcijām būs tieša, netieša, vai nebūs ietekmes uz horizontālajiem principiem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8.1.6.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informāciju, ka gadījumos, kur plānota jaunas infrastruktūras būvniecība, ieguldījumi plānoti saskaņā ar Jauno Eiropas Bauhaus iniciatīvu.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8.1.6.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24-TA-1846</w:t>
    </w:r>
    <w:r>
      <w:br/>
    </w:r>
    <w:r w:rsidR="00000000" w:rsidRPr="00000000" w:rsidDel="00000000">
      <w:rPr>
        <w:rtl w:val="0"/>
      </w:rPr>
      <w:t xml:space="preserve">17.01.2025. 18.22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24-TA-1846</w:t>
    </w:r>
    <w:r>
      <w:br/>
    </w:r>
    <w:r w:rsidR="00000000" w:rsidRPr="00000000" w:rsidDel="00000000">
      <w:rPr>
        <w:rtl w:val="0"/>
      </w:rPr>
      <w:t xml:space="preserve">17.01.2025. 18.22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Izziņa_24-TA-1846.docx</dc:title>
</cp:coreProperties>
</file>

<file path=docProps/custom.xml><?xml version="1.0" encoding="utf-8"?>
<Properties xmlns="http://schemas.openxmlformats.org/officeDocument/2006/custom-properties" xmlns:vt="http://schemas.openxmlformats.org/officeDocument/2006/docPropsVTypes"/>
</file>