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6. septembra noteikumos Nr. 674 "Bīstamo kravu pārvadājumu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svītrot informatīvajā atsaucē uz Eiropas Savienības direktīvām 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nav pilnībā atspoguļots projekta 1.4.-1.12. apakšpunkts, nav skaidrs plānoto grozījumu pamatojums. Attiecīgi lūdzam skaidrot projekta 1.4. -1.9. un 1.12. apakšpunktus un svītrot vai sniegt pamatojumu projekta 1.10. un 1.11. apakšpunktos plānotajiem grozījumiem (informatīvo atsauču svītrošana uz spēkā esošām Eiropas Savienības direktīvā). Vēršam uzmanību, ka, ja konkrēto direktīvu prasības ir pārņemtas Ministru kabineta 2005. gada 6. septembra noteikumos Nr. 674 "Bīstamo kravu pārvadājumu noteikumi" (turpmāk - noteikumi Nr. 674) nav saprotama informatīvo atsauču svītrošana situācijā, kad direktīvas vēl ir spēkā esošas.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2023.gada 1.jūlijā.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Komisijas 2022. gada 20. septembra Deleģētās direktīvas (ES) 2022/2407, ar ko Eiropas Parlamenta un Padomes Direktīvas 2008/68/EK pielikumus groza, lai ņemtu vērā zinātnes un tehnikas attīstību (turpmāk - direktīva 2022/2407) 2. panta pirmajam punktam normatīvie un administratīvie akti, kas vajadzīgi, lai izpildītu šīs direktīvas prasības </w:t>
            </w:r>
            <w:r w:rsidR="00000000" w:rsidRPr="00000000" w:rsidDel="00000000">
              <w:rPr>
                <w:b w:val="1"/>
                <w:rtl w:val="0"/>
              </w:rPr>
              <w:t xml:space="preserve">stājas spēkā vēlākais līdz 2023. gada 30. jūnijam</w:t>
            </w:r>
            <w:r w:rsidR="00000000" w:rsidRPr="00000000" w:rsidDel="00000000">
              <w:rPr>
                <w:rtl w:val="0"/>
              </w:rPr>
              <w:t xml:space="preserve">. Attiecīgi projekta 2. punktā paredzētais termiņš neizpilda direktīvas ieviešanas termiņa prasības. Vienlaicīgi, lūdzam precizēt termiņu arī anotācijas 1.2. apakšpunktā un datumu, līdz kuram jāpublicē Nolīguma par bīstamo kravu starptautiskajiem pārvadājumiem ar autotransportu (ADR) (turpmāk - ADR) tulkojumu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 punktu aizpilda, ja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4.1. apakšpunktā norādītā tiesību akta projekta saistību ar projektu, konstatējot kā projekti ir savā starpā saistīti un to, kā šī projekta grozījumi, ietekmē anotācijas 4.1. apakšpunktā norādīto Ministru kabineta noteikumu saturu. Konstatējot saistību lūdzam to norādīt pamatojuma aprakstā. Šobrīd ietverta norāde "tiks pārņemts Direktīvas 2022/2407/ES 1.panta 2.punkts" nesniedz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5.4. apakšpunkta 1. tabulā raksturo projekta atbilstības pakāpi Eiropas Savienības tiesību aktiem, norādot katru attiecīgā Eiropas Savienības tiesību akta pantu, daļu, punktu, apakšpunktu, kas jāpārņem vai jāievieš nacionālajā tiesību sistēmā (A aile). "B" ailē norāda katru projekta pantu, daļu, punktu, apakšpunktu, ar kuru tiks pārņemts vai ieviests Eiropas Savienības tiesību akta pants, daļa, punkts vai apakšpunkts, vai norāda vispārīgu atsauci uz tiesību aktu, kurā ir vai tiks pārņemtas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apakšpunkta 1. tabulā norādīto informāciju, nodrošinot korektu tiesību projekta atbilstības atspoguļojumu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rindā "1. panta 1. punkts" "B" ailē norādīts, ka direktīvas 2022/2407 1. panta pirmais punkts tiek pārņemts ar projekta 1.2. un 1.12. apakšpunktu, lai gan projekta 1.12. apakšpunts ievieš direktīvas 2022/2407 2. panta pirmo punktu (informatīvā atsauce uz direktīvu 2022/2407).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rindu "2.pants" iesakām pārdēvēt par "2.panta 1. punkts", "B" ailē norādot arī projekta 2. punktu, kas ievieš direktīvā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iesakām izveidot papildus rindas "2. panta 2.punkts", "3. pants" un "4.pants", katram "B" ailē norādot iemeslu nepārņemšanai, piemēram, "Nav jāpārņem; noteikta spēkā stāšanās kārtība." vai "Nav jāpārņem; minēti direktīvas adresāti.".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 panta 2. punkts" un "1. panta 3. punkts" rindu "B", "C" un "D" ailēs lūdzam norādīt tabulas aizpildīšanas nosacījumiem atbilstošu informāciju. Piemēram, rindā "1. panta 2. punkts" informāciju no "D" ailes pārceļot uz "B" un norādot korektu informāciju "C" un "D" ailēs.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sniegt izvērstāku skaidrojumu anotācijā par projekta 1.2. apakšpunktā paredzētā grozījuma nepieciešamību, ņemot vērā, ka, piemēram, veicot līdzīga satura grozījums direktīvas pārņemšanai 2013. gadā anotācijā tika ietverts skaidrojums, ka noteikumi atbilst direktīvai, līdz ar to tiek pievienota tikai informatīvā atsauce (sk. Ministru kabineta 2013.gada 9.aprīļa noteikumu Nr.192 "Grozījums Ministru kabineta 2005.gada 6.septembra noteikumos Nr.674 "Bīstamo kravu pārvadājumu noteikumi"" anotāciju; pieejama: https://tap.mk.gov.lv/lv/mk/tap/?pid=40274956).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Līguma par Eiropas Savienības darbību 288. 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lai to saturs skaidri un detalizēti formālā un tekstuālā ziņā tiktu pārņemts normatīvajos vai administratīvajos aktos. Pietiek, ja tiek ievērots vispārīgais juridiskais konteksts, lai pietiekami skaidri un precīzi varētu piemērot Eiropas Savienības tiesības (Eiropas Kopienu Tiesas spriedums lietā C-428/04 Commission v Austria, 99. §.). Attiecīgi aicinām sniegt izvērstāku skaidrojumu anotācijā, ņemot vērā 2013. gadā veiktā grozījuma anotācijā sniegto pamatojumu attiecībā uz direktīvas pārņemšanu.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1.1. apakšpunktā norādīts, ka projekta izstrādes pamatojums ir Ministrijas iniciatīva, tajā pašā laikā aprakstā norādīts, ka "Komisijas 2022. gada 20. septembra Deleģētā direktīva (ES) 2022/2407, ar ko Eiropas Parlamenta un Padomes Direktīvas 2008/68/EK pielikumus groza, lai ņemtu vērā zinātnes un tehnikas attīstību aktualizē normatīvo regulējumu attiecībā uz bīstamo kravu pārvadāšanu ar autotransportu pārņemšanu", no kā šķietami secināms, ka minētā direktīva ir plānoto grozījumu pamatojums. Vienlaicīgi no tālākā anotācijas satura izriet, ka plānoto grozījumu pamatojums ir ne tikai Direktīva 2022/2407, bet arī ADR.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iesakām pārskatīt norādīto informāciju un, nepieciešamības gadījumā, veikt tās salāgošanu un/vai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Komisijas 2022. gada 20. septembra Deleģētā direktīva (ES) 2022/2407, ar ko Eiropas Parlamenta un Padomes Direktīvas 2008/68/EK pielikumus groza, lai ņemtu vērā zinātnes un tehnikas attīstību (turpmāk - Direktīva 2022/2407/ES).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iesniegtā projekta izziņas 5. punktā norādīts, ka šajā punktā norādītais priekšlikums ir ņemts vērā, bet izskatot projekta dokumentus, netika konstatēti precizējumi, kas būtu uz to attiecināmi. Attiecīgi, atkārtoti aicinām izvērtēt un sniegt izvērstāku skaidrojumu anotācijā par projekta 1.2. apakšpunktā paredzētā grozījuma nepieciešamību, ņemot vērā, ka, piemēram, veicot līdzīga satura grozījums direktīvas pārņemšanai 2013. gadā anotācijā tika ietverts skaidrojums, ka noteikumi atbilst direktīvai, līdz ar to tiek pievienota tikai informatīvā atsauce (sk. Ministru kabineta 2013.gada 9.aprīļa noteikumu Nr.192 "Grozījums Ministru kabineta 2005.gada 6.septembra noteikumos Nr.674 "Bīstamo kravu pārvadājumu noteikumi"" anotāciju; pieejama: https://tap.mk.gov.lv/lv/mk/tap/?pid=40274956).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Līguma par Eiropas Savienības darbību 288. 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lai to saturs skaidri un detalizēti formālā un tekstuālā ziņā tiktu pārņemts normatīvajos vai administratīvajos aktos. Pietiek, ja tiek ievērots vispārīgais juridiskais konteksts, lai pietiekami skaidri un precīzi varētu piemērot Eiropas Savienības tiesības (Eiropas Kopienu Tiesas spriedums lietā C-428/04 Commission v Austria, 99. §.). Attiecīgi aicinām sniegt izvērstāku skaidrojumu anotācijā, ņemot vērā 2013. gadā veiktā grozījuma anotācijā sniegto pamatojumu attiecībā uz direktīvas pārņemšanu.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Vienlaicīgi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2008. gada 24. septembra Direktīva 2008/68/EK par bīstamo kravu iekšzemes pārvadājumiem (turpmāk - Direktīva 2008/68/EK).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pieteikto saīsinājumu "Direktīva 2022/2407/ES" un paralēli lietoto saīsinājumu "Komisijas Deleģētā direktīva (ES) 2022/2407 " un "Direktīva 2022/2407", "MK noteikumi Nr.674 " un "Noteikumi Nr.674" u.tml.</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apakšpunkta pirmās problēmas risinājuma apraksta pirmā rindkopa formulēta tā, ka šķietami saprotams, ka noteikumu Nr.674 3.punktu (projekta 1.2.punkts) paredzēts grozīt ne tikai norādot, ka piemērojama ir ADR A un B pielikumu redakcija, kura ir spēkā no 2023.gada 1.janvāra, bet arī papildinot informatīvo atsauci uz Eiropas Savienības direktīvām, kas ir paredzēts projekta 1.12.apakšpunktā. Iesakām precizēt anotācijas 1.3. apakšpunkta pirmās problēmas risinājuma apraksta pirmās rindkopas formulējumu vai strukturējumu, nodrošinot, lai vienuviet uzskaitītie plānotie grozījumi, nesaplūst kopā, nodrošinot skaidru, konkrētu un nepārprotamu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5.3.apakšpunktā norāda papildu informāciju, kas raksturo projekta atbilstību Latvijas Republikas starptautiskajām saistībām (piemēram, informāciju par Eiropas Savienības līmenī iepriekš veikto Eiropas Savienības tiesību aktu ietekmes novērtējumu). Attiecīgi, lūdzam izvērtēt vai anotācijas 5.3. apakšpunktā ietvertā informācija ir norādīta strukturāli korekti, nepieciešamības gadījumā veicot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anotācijas 5.4. apakšpunkta 1. tabulas sadaļā “Cita informācija” iekļautos papildinājumus ar atsaucēm uz vairāku Eiropas Savienības direktīvu pārņemšanu, kas šķietami nav saistītas ar Ministru kabineta 2005. gada 6. septembra noteikumiem Nr.674 “Bīstamo kravu pārvadājumu noteikumi” (turpmāk – Noteikumi Nr.647) (nav iekļautas noteikumu Nr.674 informatīvo atsauču uz Eiropas Savienības direktīvām sadaļā). Taču, piemēram, atsauce uz Komisijas 2012.gada 3.decembra Direktīvas 2012/45/ES, ar ko pielikumus Eiropas Parlamenta un Padomes Direktīvā 2008/68/EK par bīstamo kravu iekšzemes pārvadājumiem otro reizi pielāgo zinātnes un tehnikas attīstībai, kuras 1. panta 1. punkts ieviests ar noteikumu Nr. 674 3. punktu, nav minēta. Attiecīgi lūdzam veikt nepieciešamos labojumus un iesakām formulējumu veidot vispārīgāku.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Komisijas 2012.gada 3.decembra Direktīvu 2012/45/ES, ar ko pielikumus Eiropas Parlamenta un Padomes Direktīvā 2008/68/EK par bīstamo kravu iekšzemes pārvadājumiem otro reizi pielāgo zinātnes un tehnikas attīstībai norādīta MK Noteikumu Nr.674 Informatīvo atsauču uz Eiropas Savienības direktīvām 9.punktā.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noteikumos Nr. 674  iepriekš veiktajiem grozījumiem, ar tiem ir ieviests, piemēram, Komisijas 2012.gada 3.decembra Direktīva 2012/45/ES, ar ko pielikumus Eiropas Parlamenta un Padomes Direktīvā 2008/68/EK par bīstamo kravu iekšzemes pārvadājumiem otro reizi pielāgo zinātnes un tehnikas attīstībai 1.panta 1.punkts (noteikumu Nr. 674 3. punkts).  Attiecīgi lūdzam pārskatīt grozījumiem pakļautos noteikumu Nr.674. punktus un izvērtēt, vai uz tiem attiecināmie, šī projekta anotācijā nenorādītie (iepriekš pārņemtie/ieviestie), Eiropas Savienības tiesību akti joprojām ir atiecināmi uz noteikumu Nr. 674 normām un, tādā gadījumā, iesakām papildināt anotācijas 5.4. apakšpunktu ar papildus norādi uz to,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5.5. apakšpunkta 2. tabulā raksturo ar projektu izpildītās vai uzņemtās saistības, kas izriet no katra starptautiskā dokumenta, kurš ir minēts šīs sadaļas 5.2. apakšpunktā “Citas starptautiskās saistības”. No anotācijas 1.3. apakšpunkta secināms, ka, piemēram, ar projekta 1.3. apakšpunktu tiek ieviesti ADR 9. nodaļas nosacījumi, tāpat arī projekta 1.2. apakšpunktā paredzētie terminoloģiskie precizējumi ir šķietami saistīti ar ADR. Lūdzam pārskatīt vai nav nepieciešams papildināt anotācijas 5.5. apakšpunkta tabulu, vajadzības gadījumā veicot papildinājumus.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papildināt anotācijas 5.5. apakšpunkta tabulu, jo projekts nerada jaunas vai atšķirīgas starptautiskās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23-TA-289</w:t>
    </w:r>
    <w:r>
      <w:br/>
    </w:r>
    <w:r w:rsidR="00000000" w:rsidRPr="00000000" w:rsidDel="00000000">
      <w:rPr>
        <w:rtl w:val="0"/>
      </w:rPr>
      <w:t xml:space="preserve">19.06.2023. 11.27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23-TA-289</w:t>
    </w:r>
    <w:r>
      <w:br/>
    </w:r>
    <w:r w:rsidR="00000000" w:rsidRPr="00000000" w:rsidDel="00000000">
      <w:rPr>
        <w:rtl w:val="0"/>
      </w:rPr>
      <w:t xml:space="preserve">19.06.2023. 11.27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Izziņa_23-TA-289.docx</dc:title>
</cp:coreProperties>
</file>

<file path=docProps/custom.xml><?xml version="1.0" encoding="utf-8"?>
<Properties xmlns="http://schemas.openxmlformats.org/officeDocument/2006/custom-properties" xmlns:vt="http://schemas.openxmlformats.org/officeDocument/2006/docPropsVTypes"/>
</file>