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AC16" w14:textId="77777777" w:rsidR="00786DAF" w:rsidRDefault="00786DAF" w:rsidP="002C22B9">
      <w:pPr>
        <w:jc w:val="center"/>
        <w:rPr>
          <w:sz w:val="20"/>
        </w:rPr>
      </w:pPr>
    </w:p>
    <w:p w14:paraId="441EAC17" w14:textId="77777777" w:rsidR="002C22B9" w:rsidRDefault="002C22B9" w:rsidP="002C22B9">
      <w:pPr>
        <w:jc w:val="center"/>
        <w:rPr>
          <w:sz w:val="20"/>
        </w:rPr>
      </w:pPr>
      <w:r w:rsidRPr="00914649">
        <w:rPr>
          <w:sz w:val="20"/>
        </w:rPr>
        <w:t>Rīgā</w:t>
      </w:r>
    </w:p>
    <w:p w14:paraId="441EAC1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41EAC1D" w14:textId="77777777" w:rsidTr="009F77B9">
        <w:tc>
          <w:tcPr>
            <w:tcW w:w="450" w:type="dxa"/>
            <w:tcBorders>
              <w:top w:val="nil"/>
              <w:left w:val="nil"/>
              <w:bottom w:val="nil"/>
              <w:right w:val="nil"/>
            </w:tcBorders>
          </w:tcPr>
          <w:p w14:paraId="441EAC19"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41EAC1A"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D386D">
              <w:rPr>
                <w:szCs w:val="24"/>
              </w:rPr>
              <w:t>21.09.2020</w:t>
            </w:r>
            <w:r w:rsidRPr="00615936">
              <w:rPr>
                <w:szCs w:val="24"/>
              </w:rPr>
              <w:fldChar w:fldCharType="end"/>
            </w:r>
            <w:bookmarkEnd w:id="0"/>
          </w:p>
        </w:tc>
        <w:tc>
          <w:tcPr>
            <w:tcW w:w="708" w:type="dxa"/>
            <w:tcBorders>
              <w:top w:val="nil"/>
              <w:left w:val="nil"/>
              <w:bottom w:val="nil"/>
              <w:right w:val="nil"/>
            </w:tcBorders>
          </w:tcPr>
          <w:p w14:paraId="441EAC1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441EAC1C"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80938">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4D386D">
              <w:rPr>
                <w:szCs w:val="24"/>
              </w:rPr>
              <w:t>4955</w:t>
            </w:r>
            <w:r w:rsidRPr="00615936">
              <w:rPr>
                <w:szCs w:val="24"/>
              </w:rPr>
              <w:fldChar w:fldCharType="end"/>
            </w:r>
            <w:bookmarkEnd w:id="2"/>
          </w:p>
        </w:tc>
      </w:tr>
      <w:tr w:rsidR="002C22B9" w:rsidRPr="00615936" w14:paraId="441EAC22" w14:textId="77777777" w:rsidTr="009F77B9">
        <w:trPr>
          <w:trHeight w:val="188"/>
        </w:trPr>
        <w:tc>
          <w:tcPr>
            <w:tcW w:w="450" w:type="dxa"/>
            <w:tcBorders>
              <w:top w:val="nil"/>
              <w:left w:val="nil"/>
              <w:bottom w:val="nil"/>
              <w:right w:val="nil"/>
            </w:tcBorders>
          </w:tcPr>
          <w:p w14:paraId="441EAC1E"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41EAC1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41EAC2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41EAC21" w14:textId="77777777" w:rsidR="002C22B9" w:rsidRPr="00615936" w:rsidRDefault="002C22B9" w:rsidP="002C22B9">
            <w:pPr>
              <w:tabs>
                <w:tab w:val="left" w:pos="360"/>
                <w:tab w:val="left" w:pos="3960"/>
              </w:tabs>
              <w:rPr>
                <w:sz w:val="20"/>
              </w:rPr>
            </w:pPr>
          </w:p>
        </w:tc>
      </w:tr>
      <w:tr w:rsidR="002C22B9" w:rsidRPr="00615936" w14:paraId="441EAC27" w14:textId="77777777" w:rsidTr="009F77B9">
        <w:tc>
          <w:tcPr>
            <w:tcW w:w="450" w:type="dxa"/>
            <w:tcBorders>
              <w:top w:val="nil"/>
              <w:left w:val="nil"/>
              <w:bottom w:val="nil"/>
              <w:right w:val="nil"/>
            </w:tcBorders>
          </w:tcPr>
          <w:p w14:paraId="441EAC23"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441EAC2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80938">
              <w:rPr>
                <w:szCs w:val="24"/>
              </w:rPr>
              <w:t>03.09.2020</w:t>
            </w:r>
            <w:r w:rsidRPr="00615936">
              <w:rPr>
                <w:szCs w:val="24"/>
              </w:rPr>
              <w:fldChar w:fldCharType="end"/>
            </w:r>
            <w:bookmarkEnd w:id="3"/>
          </w:p>
        </w:tc>
        <w:tc>
          <w:tcPr>
            <w:tcW w:w="708" w:type="dxa"/>
            <w:tcBorders>
              <w:top w:val="nil"/>
              <w:left w:val="nil"/>
              <w:bottom w:val="nil"/>
              <w:right w:val="nil"/>
            </w:tcBorders>
          </w:tcPr>
          <w:p w14:paraId="441EAC2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41EAC26"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80938">
              <w:rPr>
                <w:szCs w:val="24"/>
              </w:rPr>
              <w:t>VSS-746, 35  11§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41EAC2C" w14:textId="77777777" w:rsidTr="00E84CE9">
        <w:trPr>
          <w:trHeight w:val="1120"/>
          <w:jc w:val="right"/>
        </w:trPr>
        <w:tc>
          <w:tcPr>
            <w:tcW w:w="4644" w:type="dxa"/>
          </w:tcPr>
          <w:p w14:paraId="441EAC28" w14:textId="77777777" w:rsidR="00E84CE9" w:rsidRDefault="00E84CE9" w:rsidP="00E84CE9">
            <w:pPr>
              <w:jc w:val="right"/>
              <w:rPr>
                <w:b/>
                <w:bCs/>
                <w:szCs w:val="24"/>
                <w:lang w:eastAsia="lv-LV"/>
              </w:rPr>
            </w:pPr>
            <w:bookmarkStart w:id="5" w:name="org_nos"/>
            <w:r>
              <w:rPr>
                <w:b/>
                <w:bCs/>
                <w:szCs w:val="24"/>
                <w:lang w:eastAsia="lv-LV"/>
              </w:rPr>
              <w:t>Satiksmes ministrijai</w:t>
            </w:r>
          </w:p>
          <w:p w14:paraId="441EAC29" w14:textId="77777777" w:rsidR="00E84CE9" w:rsidRDefault="00E84CE9" w:rsidP="00E84CE9">
            <w:pPr>
              <w:jc w:val="right"/>
              <w:rPr>
                <w:b/>
                <w:bCs/>
                <w:szCs w:val="24"/>
                <w:lang w:eastAsia="lv-LV"/>
              </w:rPr>
            </w:pPr>
          </w:p>
          <w:p w14:paraId="441EAC2A" w14:textId="77777777" w:rsidR="00E84CE9" w:rsidRPr="00C012A9" w:rsidRDefault="00E84CE9" w:rsidP="00E84CE9">
            <w:pPr>
              <w:jc w:val="right"/>
              <w:rPr>
                <w:bCs/>
                <w:szCs w:val="24"/>
                <w:lang w:eastAsia="lv-LV"/>
              </w:rPr>
            </w:pPr>
            <w:r w:rsidRPr="00C012A9">
              <w:rPr>
                <w:bCs/>
                <w:szCs w:val="24"/>
                <w:lang w:eastAsia="lv-LV"/>
              </w:rPr>
              <w:t>Informācijai:</w:t>
            </w:r>
          </w:p>
          <w:p w14:paraId="441EAC2B" w14:textId="77777777" w:rsidR="000C0DD4" w:rsidRDefault="00E84CE9" w:rsidP="00E84CE9">
            <w:pPr>
              <w:jc w:val="right"/>
              <w:rPr>
                <w:b/>
                <w:bCs/>
                <w:szCs w:val="24"/>
                <w:lang w:eastAsia="lv-LV"/>
              </w:rPr>
            </w:pPr>
            <w:r w:rsidRPr="00C012A9">
              <w:rPr>
                <w:b/>
                <w:bCs/>
                <w:szCs w:val="24"/>
                <w:lang w:eastAsia="lv-LV"/>
              </w:rPr>
              <w:t>Centrālajai finanšu un</w:t>
            </w:r>
            <w:r>
              <w:rPr>
                <w:b/>
                <w:bCs/>
                <w:szCs w:val="24"/>
                <w:lang w:eastAsia="lv-LV"/>
              </w:rPr>
              <w:t xml:space="preserve"> </w:t>
            </w:r>
            <w:r w:rsidRPr="00C012A9">
              <w:rPr>
                <w:b/>
                <w:bCs/>
                <w:szCs w:val="24"/>
                <w:lang w:eastAsia="lv-LV"/>
              </w:rPr>
              <w:t>līgumu aģentūrai</w:t>
            </w:r>
          </w:p>
        </w:tc>
      </w:tr>
      <w:bookmarkEnd w:id="5"/>
    </w:tbl>
    <w:p w14:paraId="441EAC2D"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6521"/>
      </w:tblGrid>
      <w:tr w:rsidR="00E84CE9" w14:paraId="441EAC2F" w14:textId="77777777" w:rsidTr="002630C6">
        <w:tc>
          <w:tcPr>
            <w:tcW w:w="6521" w:type="dxa"/>
            <w:tcBorders>
              <w:top w:val="nil"/>
              <w:left w:val="nil"/>
              <w:bottom w:val="nil"/>
              <w:right w:val="nil"/>
            </w:tcBorders>
          </w:tcPr>
          <w:p w14:paraId="441EAC2E" w14:textId="77777777" w:rsidR="00E84CE9" w:rsidRDefault="00E84CE9" w:rsidP="002630C6">
            <w:pPr>
              <w:rPr>
                <w:i/>
                <w:iCs/>
                <w:szCs w:val="24"/>
                <w:lang w:eastAsia="lv-LV"/>
              </w:rPr>
            </w:pPr>
            <w:r w:rsidRPr="00C012A9">
              <w:rPr>
                <w:i/>
                <w:iCs/>
                <w:lang w:eastAsia="lv-LV"/>
              </w:rPr>
              <w:t xml:space="preserve">Atzinums par Ministru kabineta noteikumu projektu </w:t>
            </w:r>
            <w:r w:rsidRPr="004E24AF">
              <w:rPr>
                <w:i/>
                <w:iCs/>
                <w:lang w:eastAsia="lv-LV"/>
              </w:rPr>
              <w:t>“</w:t>
            </w:r>
            <w:r w:rsidRPr="00002B8F">
              <w:rPr>
                <w:i/>
                <w:iCs/>
                <w:lang w:eastAsia="lv-LV"/>
              </w:rPr>
              <w:t>Grozījumi Ministru kabineta 2016.gada 21.jūnija noteikumos Nr.404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r w:rsidRPr="004E24AF">
              <w:rPr>
                <w:i/>
                <w:iCs/>
                <w:lang w:eastAsia="lv-LV"/>
              </w:rPr>
              <w:t>”</w:t>
            </w:r>
            <w:r>
              <w:rPr>
                <w:i/>
                <w:iCs/>
                <w:lang w:eastAsia="lv-LV"/>
              </w:rPr>
              <w:t xml:space="preserve"> </w:t>
            </w:r>
            <w:r w:rsidRPr="00C012A9">
              <w:rPr>
                <w:i/>
                <w:iCs/>
                <w:lang w:eastAsia="lv-LV"/>
              </w:rPr>
              <w:t>un tā anotāciju</w:t>
            </w:r>
            <w:r>
              <w:rPr>
                <w:i/>
                <w:iCs/>
                <w:lang w:eastAsia="lv-LV"/>
              </w:rPr>
              <w:t xml:space="preserve"> </w:t>
            </w:r>
          </w:p>
        </w:tc>
      </w:tr>
    </w:tbl>
    <w:p w14:paraId="441EAC30" w14:textId="77777777" w:rsidR="00E84CE9" w:rsidRPr="00615936" w:rsidRDefault="00E84CE9" w:rsidP="00E84CE9">
      <w:pPr>
        <w:jc w:val="left"/>
        <w:rPr>
          <w:szCs w:val="24"/>
        </w:rPr>
      </w:pPr>
    </w:p>
    <w:p w14:paraId="441EAC31" w14:textId="77777777" w:rsidR="00E84CE9" w:rsidRPr="00C012A9" w:rsidRDefault="00E84CE9" w:rsidP="00E84CE9">
      <w:pPr>
        <w:pStyle w:val="Default"/>
        <w:widowControl w:val="0"/>
        <w:ind w:firstLine="567"/>
        <w:jc w:val="both"/>
      </w:pPr>
      <w:r w:rsidRPr="00C012A9">
        <w:t>Finanšu ministrija (turpmāk – FM) sadarbībā ar Centrālo finanšu un līgumu aģentūru</w:t>
      </w:r>
      <w:r>
        <w:t xml:space="preserve"> (turpmāk – CFLA)</w:t>
      </w:r>
      <w:r w:rsidRPr="00C012A9">
        <w:t xml:space="preserve"> atbilstoši kompetencei ir izskatījusi </w:t>
      </w:r>
      <w:r>
        <w:t>Satiksmes ministrijas (</w:t>
      </w:r>
      <w:r w:rsidRPr="002A2699">
        <w:t>turpmāk – SM)</w:t>
      </w:r>
      <w:r w:rsidRPr="00C012A9">
        <w:t xml:space="preserve"> izstrādāto Ministru kabineta (turpmāk – MK) noteikumu projektu </w:t>
      </w:r>
      <w:r w:rsidRPr="004E24AF">
        <w:t>“</w:t>
      </w:r>
      <w:r w:rsidRPr="0025108C">
        <w:t>Grozījumi Ministru kabineta 2016.gada 21.jūnija noteikumos Nr. 404 “Darbības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r w:rsidRPr="004E24AF">
        <w:t xml:space="preserve">” </w:t>
      </w:r>
      <w:r w:rsidRPr="00C012A9">
        <w:t>(turpmāk – noteikumu projekts)</w:t>
      </w:r>
      <w:r>
        <w:t>,</w:t>
      </w:r>
      <w:r w:rsidRPr="00C012A9">
        <w:t xml:space="preserve"> tā sākotnējās ietekmes novērtējuma ziņojumu (anotācija) un </w:t>
      </w:r>
      <w:r>
        <w:t xml:space="preserve">MK protokollēmuma projektu un </w:t>
      </w:r>
      <w:r w:rsidRPr="00C012A9">
        <w:t>atbalsta to tālāku virzību, vienlaikus izsakot šādus iebildumus un priekšlikumu</w:t>
      </w:r>
      <w:r>
        <w:t>s</w:t>
      </w:r>
      <w:r w:rsidRPr="00C012A9">
        <w:t xml:space="preserve">. </w:t>
      </w:r>
    </w:p>
    <w:p w14:paraId="441EAC32" w14:textId="77777777" w:rsidR="00E84CE9" w:rsidRDefault="00E84CE9" w:rsidP="00E84CE9">
      <w:pPr>
        <w:ind w:firstLine="284"/>
        <w:rPr>
          <w:szCs w:val="24"/>
        </w:rPr>
      </w:pPr>
      <w:r>
        <w:rPr>
          <w:szCs w:val="24"/>
        </w:rPr>
        <w:t xml:space="preserve"> </w:t>
      </w:r>
    </w:p>
    <w:p w14:paraId="441EAC33" w14:textId="77777777" w:rsidR="00E84CE9" w:rsidRDefault="00E84CE9" w:rsidP="00E84CE9">
      <w:pPr>
        <w:ind w:firstLine="284"/>
        <w:rPr>
          <w:szCs w:val="24"/>
        </w:rPr>
      </w:pPr>
      <w:r w:rsidRPr="00C012A9">
        <w:rPr>
          <w:szCs w:val="24"/>
        </w:rPr>
        <w:t>Iebildumi:</w:t>
      </w:r>
    </w:p>
    <w:p w14:paraId="441EAC34" w14:textId="77777777" w:rsidR="00E84CE9" w:rsidRDefault="00E84CE9" w:rsidP="00E84CE9">
      <w:pPr>
        <w:pStyle w:val="ListParagraph"/>
        <w:numPr>
          <w:ilvl w:val="0"/>
          <w:numId w:val="1"/>
        </w:numPr>
        <w:ind w:left="709" w:hanging="283"/>
        <w:contextualSpacing w:val="0"/>
        <w:rPr>
          <w:szCs w:val="24"/>
        </w:rPr>
      </w:pPr>
      <w:r>
        <w:rPr>
          <w:szCs w:val="24"/>
        </w:rPr>
        <w:t>L</w:t>
      </w:r>
      <w:r w:rsidRPr="001E2198">
        <w:rPr>
          <w:szCs w:val="24"/>
        </w:rPr>
        <w:t xml:space="preserve">ūdzam </w:t>
      </w:r>
      <w:r>
        <w:rPr>
          <w:szCs w:val="24"/>
        </w:rPr>
        <w:t>papildināt</w:t>
      </w:r>
      <w:r w:rsidRPr="001E2198">
        <w:rPr>
          <w:szCs w:val="24"/>
        </w:rPr>
        <w:t xml:space="preserve"> noteikumu </w:t>
      </w:r>
      <w:r>
        <w:rPr>
          <w:szCs w:val="24"/>
        </w:rPr>
        <w:t>projektu ar</w:t>
      </w:r>
      <w:r w:rsidRPr="001E2198">
        <w:rPr>
          <w:szCs w:val="24"/>
        </w:rPr>
        <w:t xml:space="preserve"> prasību projektu iesniegt elektroniski </w:t>
      </w:r>
      <w:r w:rsidRPr="00235ABF">
        <w:rPr>
          <w:bCs/>
          <w:szCs w:val="24"/>
        </w:rPr>
        <w:t>Kohēzijas politikas fondu vadības informācijas sistēmā 2014.</w:t>
      </w:r>
      <w:r>
        <w:rPr>
          <w:bCs/>
          <w:szCs w:val="24"/>
        </w:rPr>
        <w:t>–</w:t>
      </w:r>
      <w:r w:rsidRPr="00235ABF">
        <w:rPr>
          <w:bCs/>
          <w:szCs w:val="24"/>
        </w:rPr>
        <w:t>2020.gadam</w:t>
      </w:r>
      <w:r>
        <w:rPr>
          <w:szCs w:val="24"/>
        </w:rPr>
        <w:t xml:space="preserve">. </w:t>
      </w:r>
    </w:p>
    <w:p w14:paraId="441EAC35" w14:textId="77777777" w:rsidR="00E84CE9" w:rsidRDefault="00E84CE9" w:rsidP="00E84CE9">
      <w:pPr>
        <w:pStyle w:val="ListParagraph"/>
        <w:numPr>
          <w:ilvl w:val="0"/>
          <w:numId w:val="1"/>
        </w:numPr>
        <w:ind w:left="709" w:hanging="283"/>
        <w:contextualSpacing w:val="0"/>
        <w:rPr>
          <w:szCs w:val="24"/>
        </w:rPr>
      </w:pPr>
      <w:r w:rsidRPr="005B12E2">
        <w:rPr>
          <w:szCs w:val="24"/>
        </w:rPr>
        <w:t xml:space="preserve">Ņemot vērā, ka 6.2.1.2.pasākuma </w:t>
      </w:r>
      <w:r>
        <w:rPr>
          <w:szCs w:val="24"/>
        </w:rPr>
        <w:t>“</w:t>
      </w:r>
      <w:r w:rsidRPr="005B12E2">
        <w:rPr>
          <w:szCs w:val="24"/>
        </w:rPr>
        <w:t>Dzelzceļa infrastruktūras modernizācija un izbūve</w:t>
      </w:r>
      <w:r>
        <w:rPr>
          <w:szCs w:val="24"/>
        </w:rPr>
        <w:t>”</w:t>
      </w:r>
      <w:r w:rsidRPr="005B12E2">
        <w:rPr>
          <w:szCs w:val="24"/>
        </w:rPr>
        <w:t xml:space="preserve"> (turpmāk – pasākums) projekta iesniedzējs netiek mainīts un tas ir VAS </w:t>
      </w:r>
      <w:r>
        <w:rPr>
          <w:szCs w:val="24"/>
        </w:rPr>
        <w:t>“</w:t>
      </w:r>
      <w:r w:rsidRPr="005B12E2">
        <w:rPr>
          <w:szCs w:val="24"/>
        </w:rPr>
        <w:t>Latvijas dzelzceļš</w:t>
      </w:r>
      <w:r>
        <w:rPr>
          <w:szCs w:val="24"/>
        </w:rPr>
        <w:t>”,</w:t>
      </w:r>
      <w:r w:rsidRPr="005B12E2">
        <w:rPr>
          <w:szCs w:val="24"/>
        </w:rPr>
        <w:t xml:space="preserve"> un attiecīgi līdzfinansējums tam jānodrošina no saviem resursiem, uzskatām, ka nav pamatojuma (tāds nav sniegts arī anotācijā) pasākuma īstenošanai lielāko daļu privātā finansējuma aizstāt ar valsts budžeta līdzfinansējumu. Attiecīgi lūdzam precizēt noteikumu projekta 2.punktu, kas paredz izteikt </w:t>
      </w:r>
      <w:r>
        <w:rPr>
          <w:szCs w:val="24"/>
        </w:rPr>
        <w:t xml:space="preserve">MK </w:t>
      </w:r>
      <w:r w:rsidRPr="005B12E2">
        <w:rPr>
          <w:szCs w:val="24"/>
        </w:rPr>
        <w:t>noteikumu 7.punktu</w:t>
      </w:r>
      <w:r>
        <w:rPr>
          <w:szCs w:val="24"/>
        </w:rPr>
        <w:t>,</w:t>
      </w:r>
      <w:r w:rsidRPr="005B12E2">
        <w:rPr>
          <w:szCs w:val="24"/>
        </w:rPr>
        <w:t xml:space="preserve"> jaunā redakcijā, precizēt anotācijas III sadaļā </w:t>
      </w:r>
      <w:r>
        <w:rPr>
          <w:szCs w:val="24"/>
        </w:rPr>
        <w:t>“</w:t>
      </w:r>
      <w:r w:rsidRPr="001C2B91">
        <w:rPr>
          <w:szCs w:val="24"/>
        </w:rPr>
        <w:t>Tiesību akta projekta ietekme uz valsts budžetu un pašvaldību budžetiem</w:t>
      </w:r>
      <w:r>
        <w:rPr>
          <w:szCs w:val="24"/>
        </w:rPr>
        <w:t xml:space="preserve">” </w:t>
      </w:r>
      <w:r w:rsidRPr="005B12E2">
        <w:rPr>
          <w:szCs w:val="24"/>
        </w:rPr>
        <w:t xml:space="preserve">sniegto informāciju, kā arī svītrot </w:t>
      </w:r>
      <w:r>
        <w:rPr>
          <w:szCs w:val="24"/>
        </w:rPr>
        <w:t xml:space="preserve">MK </w:t>
      </w:r>
      <w:r w:rsidRPr="005B12E2">
        <w:rPr>
          <w:szCs w:val="24"/>
        </w:rPr>
        <w:t>protokollēmuma projekta 2.punktu.</w:t>
      </w:r>
      <w:r>
        <w:rPr>
          <w:szCs w:val="24"/>
        </w:rPr>
        <w:t xml:space="preserve"> </w:t>
      </w:r>
    </w:p>
    <w:p w14:paraId="441EAC36" w14:textId="77777777" w:rsidR="00E84CE9" w:rsidRDefault="00E84CE9" w:rsidP="00E84CE9">
      <w:pPr>
        <w:pStyle w:val="ListParagraph"/>
        <w:numPr>
          <w:ilvl w:val="0"/>
          <w:numId w:val="1"/>
        </w:numPr>
        <w:ind w:left="709" w:hanging="283"/>
        <w:contextualSpacing w:val="0"/>
        <w:rPr>
          <w:szCs w:val="24"/>
        </w:rPr>
      </w:pPr>
      <w:r>
        <w:rPr>
          <w:szCs w:val="24"/>
        </w:rPr>
        <w:lastRenderedPageBreak/>
        <w:t>Lūdzam papildināt a</w:t>
      </w:r>
      <w:r w:rsidRPr="00DB6E57">
        <w:rPr>
          <w:szCs w:val="24"/>
        </w:rPr>
        <w:t xml:space="preserve">notācijas </w:t>
      </w:r>
      <w:r>
        <w:rPr>
          <w:szCs w:val="24"/>
        </w:rPr>
        <w:t>I sadaļas “</w:t>
      </w:r>
      <w:r w:rsidRPr="00235ABF">
        <w:rPr>
          <w:szCs w:val="24"/>
        </w:rPr>
        <w:t>Tiesību akta projekta izstrādes nepieciešamība</w:t>
      </w:r>
      <w:r>
        <w:rPr>
          <w:szCs w:val="24"/>
        </w:rPr>
        <w:t xml:space="preserve">” </w:t>
      </w:r>
      <w:r w:rsidRPr="00DB6E57">
        <w:rPr>
          <w:szCs w:val="24"/>
        </w:rPr>
        <w:t>2.punktā “Pašreizējā situācija un problēmas, kuru risināšanai tiesību akta projekts izstrādāts, tiesiskā regulējuma mērķis un būtība” (turpmāk</w:t>
      </w:r>
      <w:r>
        <w:rPr>
          <w:szCs w:val="24"/>
        </w:rPr>
        <w:t xml:space="preserve"> – I sadaļas</w:t>
      </w:r>
      <w:r w:rsidRPr="00DB6E57">
        <w:rPr>
          <w:szCs w:val="24"/>
        </w:rPr>
        <w:t xml:space="preserve"> 2.punkts) 3.</w:t>
      </w:r>
      <w:r>
        <w:rPr>
          <w:szCs w:val="24"/>
        </w:rPr>
        <w:t>–</w:t>
      </w:r>
      <w:r w:rsidRPr="00DB6E57">
        <w:rPr>
          <w:szCs w:val="24"/>
        </w:rPr>
        <w:t xml:space="preserve">4.lpp </w:t>
      </w:r>
      <w:r>
        <w:rPr>
          <w:szCs w:val="24"/>
        </w:rPr>
        <w:t xml:space="preserve">ietverto </w:t>
      </w:r>
      <w:r w:rsidRPr="00DB6E57">
        <w:rPr>
          <w:szCs w:val="24"/>
        </w:rPr>
        <w:t xml:space="preserve">plānoto jauno projektu aprakstus arī ar informāciju </w:t>
      </w:r>
      <w:r>
        <w:rPr>
          <w:szCs w:val="24"/>
        </w:rPr>
        <w:t xml:space="preserve">par to, </w:t>
      </w:r>
      <w:r w:rsidRPr="00DB6E57">
        <w:rPr>
          <w:szCs w:val="24"/>
        </w:rPr>
        <w:t>kā tiks nodrošināta projektu īstenošana līdz</w:t>
      </w:r>
      <w:r>
        <w:rPr>
          <w:szCs w:val="24"/>
        </w:rPr>
        <w:t xml:space="preserve"> </w:t>
      </w:r>
      <w:r w:rsidRPr="00DB6E57">
        <w:rPr>
          <w:szCs w:val="24"/>
        </w:rPr>
        <w:t>MK</w:t>
      </w:r>
      <w:r w:rsidRPr="00235ABF">
        <w:rPr>
          <w:szCs w:val="24"/>
        </w:rPr>
        <w:t xml:space="preserve"> 2016.gada 21.</w:t>
      </w:r>
      <w:r>
        <w:rPr>
          <w:szCs w:val="24"/>
        </w:rPr>
        <w:t>jūnija</w:t>
      </w:r>
      <w:r w:rsidRPr="00DB6E57">
        <w:rPr>
          <w:szCs w:val="24"/>
        </w:rPr>
        <w:t xml:space="preserve"> </w:t>
      </w:r>
      <w:r>
        <w:rPr>
          <w:szCs w:val="24"/>
        </w:rPr>
        <w:t>noteikumu Nr.404 “</w:t>
      </w:r>
      <w:r w:rsidRPr="00235ABF">
        <w:rPr>
          <w:szCs w:val="24"/>
        </w:rPr>
        <w:t>Darbības programmas “Izaugsme un nodarbinātība” prioritārā virziena “Ilgtspējīga transporta sistēma” 6.2.1.specifiskā atbalsta mērķa “Nodrošināt konkurētspējīgu un videi draudzīgu TEN-T dzelzceļa tīklu, veicinot tā drošību, kvalitāti un kapacitāti” 6.2.1.2.pasākuma “Dzelzceļa infrastruktūras modernizācija un izbūve” īstenošanas noteikumi</w:t>
      </w:r>
      <w:r>
        <w:rPr>
          <w:szCs w:val="24"/>
        </w:rPr>
        <w:t>” (turpmāk – MK noteikumi)</w:t>
      </w:r>
      <w:r w:rsidRPr="00DB6E57">
        <w:rPr>
          <w:szCs w:val="24"/>
        </w:rPr>
        <w:t xml:space="preserve"> 25.punktā paredzētajam īsteno</w:t>
      </w:r>
      <w:r>
        <w:rPr>
          <w:szCs w:val="24"/>
        </w:rPr>
        <w:t>šanas termiņam, t.i. līdz 2023.gada 31.</w:t>
      </w:r>
      <w:r w:rsidRPr="00DB6E57">
        <w:rPr>
          <w:szCs w:val="24"/>
        </w:rPr>
        <w:t>decembrim</w:t>
      </w:r>
      <w:r>
        <w:rPr>
          <w:szCs w:val="24"/>
        </w:rPr>
        <w:t xml:space="preserve">. </w:t>
      </w:r>
    </w:p>
    <w:p w14:paraId="441EAC37" w14:textId="77777777" w:rsidR="00E84CE9" w:rsidRDefault="00E84CE9" w:rsidP="00E84CE9">
      <w:pPr>
        <w:pStyle w:val="ListParagraph"/>
        <w:numPr>
          <w:ilvl w:val="0"/>
          <w:numId w:val="1"/>
        </w:numPr>
        <w:ind w:left="709" w:hanging="283"/>
        <w:contextualSpacing w:val="0"/>
        <w:rPr>
          <w:szCs w:val="24"/>
        </w:rPr>
      </w:pPr>
      <w:r>
        <w:rPr>
          <w:szCs w:val="24"/>
        </w:rPr>
        <w:t>Lūdzam precizēt a</w:t>
      </w:r>
      <w:r w:rsidRPr="00C804DC">
        <w:rPr>
          <w:szCs w:val="24"/>
        </w:rPr>
        <w:t xml:space="preserve">notācijas III.sadaļas “Tiesību akta projekta ietekme uz valsts budžetu un pašvaldību budžetiem” 6.punktā </w:t>
      </w:r>
      <w:r>
        <w:rPr>
          <w:szCs w:val="24"/>
        </w:rPr>
        <w:t>“</w:t>
      </w:r>
      <w:r w:rsidRPr="001F341F">
        <w:rPr>
          <w:szCs w:val="24"/>
        </w:rPr>
        <w:t>Detalizēts ieņēmumu un izdevumu aprēķins (ja nepieciešams, detalizētu ieņēmumu un izdevumu aprēķinu var pievienot anotācijas pielikumā)</w:t>
      </w:r>
      <w:r>
        <w:rPr>
          <w:szCs w:val="24"/>
        </w:rPr>
        <w:t>” ietverto informāciju. Tajā n</w:t>
      </w:r>
      <w:r w:rsidRPr="00C804DC">
        <w:rPr>
          <w:szCs w:val="24"/>
        </w:rPr>
        <w:t>orādīts</w:t>
      </w:r>
      <w:r>
        <w:rPr>
          <w:szCs w:val="24"/>
        </w:rPr>
        <w:t xml:space="preserve"> Kohēzijas fonda (turpmāk – KF)</w:t>
      </w:r>
      <w:r w:rsidRPr="00C804DC">
        <w:rPr>
          <w:szCs w:val="24"/>
        </w:rPr>
        <w:t xml:space="preserve"> finansējuma  un privātā līdzfinansējuma sadalījums par gadiem sākot no 2020.gada līdz 2023.gadam, kas kopsummā ir 130 487 518 </w:t>
      </w:r>
      <w:r w:rsidRPr="000A1EE5">
        <w:rPr>
          <w:i/>
          <w:szCs w:val="24"/>
        </w:rPr>
        <w:t>euro</w:t>
      </w:r>
      <w:r w:rsidRPr="00C804DC">
        <w:rPr>
          <w:szCs w:val="24"/>
        </w:rPr>
        <w:t xml:space="preserve">, taču šajā punktā nav </w:t>
      </w:r>
      <w:r>
        <w:rPr>
          <w:szCs w:val="24"/>
        </w:rPr>
        <w:t>ņ</w:t>
      </w:r>
      <w:r w:rsidRPr="00C804DC">
        <w:rPr>
          <w:szCs w:val="24"/>
        </w:rPr>
        <w:t xml:space="preserve">emts vērā projekta Nr.6.2.1.2/16/I/001 “Rīgas dzelzceļa mezgla posma Sarkandaugava - Mangaļi - Ziemeļblāzma modernizācija” finansēšanas plāns, kur jau 2019.gadā ir KF 5 142 500 </w:t>
      </w:r>
      <w:r w:rsidRPr="000A1EE5">
        <w:rPr>
          <w:i/>
          <w:szCs w:val="24"/>
        </w:rPr>
        <w:t>euro</w:t>
      </w:r>
      <w:r w:rsidRPr="00C804DC">
        <w:rPr>
          <w:szCs w:val="24"/>
        </w:rPr>
        <w:t xml:space="preserve">, kā arī privātais līdzfinansējums 3 750 000 </w:t>
      </w:r>
      <w:r w:rsidRPr="000A1EE5">
        <w:rPr>
          <w:i/>
          <w:szCs w:val="24"/>
        </w:rPr>
        <w:t>euro</w:t>
      </w:r>
      <w:r w:rsidRPr="00C804DC">
        <w:rPr>
          <w:szCs w:val="24"/>
        </w:rPr>
        <w:t xml:space="preserve"> sadalījumā pa gadiem neatbilst projektā Nr.6.2.1.2/16/I/001 norādītajam (projektā 2019.g. 907</w:t>
      </w:r>
      <w:r>
        <w:rPr>
          <w:szCs w:val="24"/>
        </w:rPr>
        <w:t> </w:t>
      </w:r>
      <w:r w:rsidRPr="00C804DC">
        <w:rPr>
          <w:szCs w:val="24"/>
        </w:rPr>
        <w:t>500</w:t>
      </w:r>
      <w:r>
        <w:rPr>
          <w:szCs w:val="24"/>
        </w:rPr>
        <w:t> </w:t>
      </w:r>
      <w:r w:rsidRPr="000A1EE5">
        <w:rPr>
          <w:i/>
          <w:szCs w:val="24"/>
        </w:rPr>
        <w:t>euro</w:t>
      </w:r>
      <w:r w:rsidRPr="00C804DC">
        <w:rPr>
          <w:szCs w:val="24"/>
        </w:rPr>
        <w:t xml:space="preserve">, 2020.g. 324 000 </w:t>
      </w:r>
      <w:r w:rsidRPr="000A1EE5">
        <w:rPr>
          <w:i/>
          <w:szCs w:val="24"/>
        </w:rPr>
        <w:t>euro</w:t>
      </w:r>
      <w:r w:rsidRPr="00C804DC">
        <w:rPr>
          <w:szCs w:val="24"/>
        </w:rPr>
        <w:t xml:space="preserve">, 2021.g. 1 086 000 </w:t>
      </w:r>
      <w:r w:rsidRPr="000A1EE5">
        <w:rPr>
          <w:i/>
          <w:szCs w:val="24"/>
        </w:rPr>
        <w:t>euro</w:t>
      </w:r>
      <w:r w:rsidRPr="00C804DC">
        <w:rPr>
          <w:szCs w:val="24"/>
        </w:rPr>
        <w:t xml:space="preserve">, 2022.g. 1 236 000 </w:t>
      </w:r>
      <w:r w:rsidRPr="000A1EE5">
        <w:rPr>
          <w:i/>
          <w:szCs w:val="24"/>
        </w:rPr>
        <w:t>euro</w:t>
      </w:r>
      <w:r w:rsidRPr="00C804DC">
        <w:rPr>
          <w:szCs w:val="24"/>
        </w:rPr>
        <w:t xml:space="preserve">, 2023.g. 196 500 </w:t>
      </w:r>
      <w:r w:rsidRPr="000A1EE5">
        <w:rPr>
          <w:i/>
          <w:szCs w:val="24"/>
        </w:rPr>
        <w:t>euro</w:t>
      </w:r>
      <w:r w:rsidRPr="00C804DC">
        <w:rPr>
          <w:szCs w:val="24"/>
        </w:rPr>
        <w:t>)</w:t>
      </w:r>
      <w:r>
        <w:rPr>
          <w:szCs w:val="24"/>
        </w:rPr>
        <w:t xml:space="preserve">. </w:t>
      </w:r>
    </w:p>
    <w:p w14:paraId="441EAC38" w14:textId="77777777" w:rsidR="00E84CE9" w:rsidRDefault="00E84CE9" w:rsidP="00E84CE9">
      <w:pPr>
        <w:pStyle w:val="ListParagraph"/>
        <w:numPr>
          <w:ilvl w:val="0"/>
          <w:numId w:val="1"/>
        </w:numPr>
        <w:ind w:left="709" w:hanging="283"/>
        <w:contextualSpacing w:val="0"/>
        <w:rPr>
          <w:szCs w:val="24"/>
        </w:rPr>
      </w:pPr>
      <w:r>
        <w:rPr>
          <w:szCs w:val="24"/>
        </w:rPr>
        <w:t>A</w:t>
      </w:r>
      <w:r w:rsidRPr="001D2882">
        <w:rPr>
          <w:szCs w:val="24"/>
        </w:rPr>
        <w:t>notācijā norādīts, ka tiks īstenots arī projekts “Nožogojumu un gājēju pāreju ierīkošana dzelzceļa infrastruktūras objektos”, taču šim projektam netiek plānots iznākuma rādītājs atbilstoši MK noteikumiem, kā arī nav sniegts skaidrojums par šī projekta nepieciešamību MK noteikumu rādītāju sasniegšanai. Lū</w:t>
      </w:r>
      <w:r>
        <w:rPr>
          <w:szCs w:val="24"/>
        </w:rPr>
        <w:t>dzam</w:t>
      </w:r>
      <w:r w:rsidRPr="001D2882">
        <w:rPr>
          <w:szCs w:val="24"/>
        </w:rPr>
        <w:t xml:space="preserve"> sniegt pamatojumu šī projekta nepieciešamībai un ietekmei uz rādītāju sasniegšanu</w:t>
      </w:r>
      <w:r>
        <w:rPr>
          <w:szCs w:val="24"/>
        </w:rPr>
        <w:t xml:space="preserve">. </w:t>
      </w:r>
    </w:p>
    <w:p w14:paraId="441EAC39" w14:textId="77777777" w:rsidR="00E84CE9" w:rsidRDefault="00E84CE9" w:rsidP="00E84CE9">
      <w:pPr>
        <w:pStyle w:val="ListParagraph"/>
        <w:numPr>
          <w:ilvl w:val="0"/>
          <w:numId w:val="1"/>
        </w:numPr>
        <w:ind w:left="709" w:hanging="283"/>
        <w:contextualSpacing w:val="0"/>
        <w:rPr>
          <w:szCs w:val="24"/>
        </w:rPr>
      </w:pPr>
      <w:r>
        <w:rPr>
          <w:szCs w:val="24"/>
        </w:rPr>
        <w:t>L</w:t>
      </w:r>
      <w:r w:rsidRPr="00693C6D">
        <w:rPr>
          <w:szCs w:val="24"/>
        </w:rPr>
        <w:t xml:space="preserve">ūdzam anotācijā sniegt izvērtējumu par </w:t>
      </w:r>
      <w:r>
        <w:rPr>
          <w:szCs w:val="24"/>
        </w:rPr>
        <w:t>noteikumu projekta</w:t>
      </w:r>
      <w:r w:rsidRPr="00693C6D">
        <w:rPr>
          <w:szCs w:val="24"/>
        </w:rPr>
        <w:t xml:space="preserve"> ietekmi uz </w:t>
      </w:r>
      <w:r>
        <w:rPr>
          <w:szCs w:val="24"/>
        </w:rPr>
        <w:t xml:space="preserve"> finansējuma saņēmēju un </w:t>
      </w:r>
      <w:r w:rsidRPr="00693C6D">
        <w:rPr>
          <w:szCs w:val="24"/>
        </w:rPr>
        <w:t>īstenošanā esošo projektu Nr.6.2.1.2/16/I/001 “Rīgas dzelzceļa mezgla posma Sarkandaugava - Mangaļi - Ziemeļblāzma modernizācija”</w:t>
      </w:r>
      <w:r w:rsidR="00AE7123">
        <w:rPr>
          <w:szCs w:val="24"/>
        </w:rPr>
        <w:t>.</w:t>
      </w:r>
      <w:r>
        <w:rPr>
          <w:szCs w:val="24"/>
        </w:rPr>
        <w:t xml:space="preserve"> </w:t>
      </w:r>
    </w:p>
    <w:p w14:paraId="441EAC3A" w14:textId="77777777" w:rsidR="00E84CE9" w:rsidRDefault="00E84CE9" w:rsidP="00E84CE9">
      <w:pPr>
        <w:pStyle w:val="ListParagraph"/>
        <w:numPr>
          <w:ilvl w:val="0"/>
          <w:numId w:val="1"/>
        </w:numPr>
        <w:ind w:left="709" w:hanging="283"/>
        <w:contextualSpacing w:val="0"/>
        <w:rPr>
          <w:szCs w:val="24"/>
        </w:rPr>
      </w:pPr>
      <w:r>
        <w:rPr>
          <w:szCs w:val="24"/>
        </w:rPr>
        <w:t>L</w:t>
      </w:r>
      <w:r w:rsidRPr="004B0D86">
        <w:rPr>
          <w:szCs w:val="24"/>
        </w:rPr>
        <w:t xml:space="preserve">ūdzam anotācijā iekļaut informāciju par plānoto atlases procesu, norādot ka CFLA plāno veikt 2016.gada 21.augusta atlases nolikuma grozījumus un atkārtoti atvērt 2017.gada 29.decembrī </w:t>
      </w:r>
      <w:r>
        <w:rPr>
          <w:szCs w:val="24"/>
        </w:rPr>
        <w:t>beigušos</w:t>
      </w:r>
      <w:r w:rsidRPr="004B0D86">
        <w:rPr>
          <w:szCs w:val="24"/>
        </w:rPr>
        <w:t xml:space="preserve"> atlasi, nevis izsludināt jaunu, kā arī iekļaut informāciju</w:t>
      </w:r>
      <w:r>
        <w:rPr>
          <w:szCs w:val="24"/>
        </w:rPr>
        <w:t>,</w:t>
      </w:r>
      <w:r w:rsidRPr="004B0D86">
        <w:rPr>
          <w:szCs w:val="24"/>
        </w:rPr>
        <w:t xml:space="preserve"> vai vērtēšanas kritēriji tiks </w:t>
      </w:r>
      <w:r>
        <w:rPr>
          <w:szCs w:val="24"/>
        </w:rPr>
        <w:t>precizēti</w:t>
      </w:r>
      <w:r w:rsidRPr="004B0D86">
        <w:rPr>
          <w:szCs w:val="24"/>
        </w:rPr>
        <w:t xml:space="preserve"> un virzīti uz </w:t>
      </w:r>
      <w:r>
        <w:rPr>
          <w:szCs w:val="24"/>
        </w:rPr>
        <w:t>Uzraudzības komiteju</w:t>
      </w:r>
      <w:r w:rsidRPr="004B0D86">
        <w:rPr>
          <w:szCs w:val="24"/>
        </w:rPr>
        <w:t>, ņemot vērā, ka 2020.</w:t>
      </w:r>
      <w:r>
        <w:rPr>
          <w:szCs w:val="24"/>
        </w:rPr>
        <w:t>gada 23.jūlijā</w:t>
      </w:r>
      <w:r w:rsidRPr="004B0D86">
        <w:rPr>
          <w:szCs w:val="24"/>
        </w:rPr>
        <w:t xml:space="preserve"> ir veikti grozījumi vadlīnijās Nr.4.1. “Eiropas Reģionālās attīstības fonda, Eiropas Sociālā fonda un Kohēzijas fonda projektu iesniegumu atlases metodika 2014.–2020.gadam”</w:t>
      </w:r>
      <w:r>
        <w:rPr>
          <w:szCs w:val="24"/>
        </w:rPr>
        <w:t xml:space="preserve">. </w:t>
      </w:r>
    </w:p>
    <w:p w14:paraId="441EAC3B" w14:textId="77777777" w:rsidR="00E84CE9" w:rsidRPr="00150656" w:rsidRDefault="00E84CE9" w:rsidP="00E84CE9">
      <w:pPr>
        <w:ind w:left="349"/>
        <w:rPr>
          <w:szCs w:val="24"/>
        </w:rPr>
      </w:pPr>
    </w:p>
    <w:p w14:paraId="441EAC3C" w14:textId="77777777" w:rsidR="00E84CE9" w:rsidRPr="00123FF4" w:rsidRDefault="00E84CE9" w:rsidP="00E84CE9">
      <w:pPr>
        <w:ind w:left="284"/>
      </w:pPr>
      <w:r w:rsidRPr="00123FF4">
        <w:rPr>
          <w:szCs w:val="24"/>
        </w:rPr>
        <w:t>Priekšlikumi:</w:t>
      </w:r>
    </w:p>
    <w:p w14:paraId="441EAC3D" w14:textId="77777777" w:rsidR="00E84CE9" w:rsidRDefault="00E84CE9" w:rsidP="00E84CE9">
      <w:pPr>
        <w:pStyle w:val="ListParagraph"/>
        <w:numPr>
          <w:ilvl w:val="0"/>
          <w:numId w:val="2"/>
        </w:numPr>
        <w:rPr>
          <w:szCs w:val="24"/>
        </w:rPr>
      </w:pPr>
      <w:r w:rsidRPr="00693C6D">
        <w:rPr>
          <w:szCs w:val="24"/>
        </w:rPr>
        <w:t xml:space="preserve">Lūdzam </w:t>
      </w:r>
      <w:r>
        <w:rPr>
          <w:szCs w:val="24"/>
        </w:rPr>
        <w:t>pārskatīt un anotācijā skaidrot atbilstību</w:t>
      </w:r>
      <w:r w:rsidRPr="00693C6D">
        <w:rPr>
          <w:szCs w:val="24"/>
        </w:rPr>
        <w:t xml:space="preserve"> </w:t>
      </w:r>
      <w:r w:rsidRPr="000A1EE5">
        <w:rPr>
          <w:szCs w:val="24"/>
        </w:rPr>
        <w:t>MK noteikumos</w:t>
      </w:r>
      <w:r w:rsidRPr="00693C6D">
        <w:rPr>
          <w:szCs w:val="24"/>
        </w:rPr>
        <w:t xml:space="preserve"> paredzē</w:t>
      </w:r>
      <w:r>
        <w:rPr>
          <w:szCs w:val="24"/>
        </w:rPr>
        <w:t>tajiem</w:t>
      </w:r>
      <w:r w:rsidRPr="00693C6D">
        <w:rPr>
          <w:szCs w:val="24"/>
        </w:rPr>
        <w:t xml:space="preserve"> izmaksu attiecin</w:t>
      </w:r>
      <w:r>
        <w:rPr>
          <w:szCs w:val="24"/>
        </w:rPr>
        <w:t>āmības</w:t>
      </w:r>
      <w:r w:rsidRPr="00693C6D">
        <w:rPr>
          <w:szCs w:val="24"/>
        </w:rPr>
        <w:t xml:space="preserve"> nosacījumi</w:t>
      </w:r>
      <w:r>
        <w:rPr>
          <w:szCs w:val="24"/>
        </w:rPr>
        <w:t>em. A</w:t>
      </w:r>
      <w:r w:rsidRPr="00693C6D">
        <w:rPr>
          <w:szCs w:val="24"/>
        </w:rPr>
        <w:t xml:space="preserve">notācijā norādīts, ka projekta “Dzelzceļa pasažieru infrastruktūras modernizācija” ietvaros paredzēts izbūvēt paaugstinātos peronus 45 stacijās. Plānotās aktivitātes: izbūvēt paaugstinātās pasažieru platformas ar pandusiem un aprīkojumu, tostarp platformu nojumes, uzstādīt soliņus un atkritumu urnas, izbūvēt gājēju pārejas, veikt pieeju un teritoriju labiekārtošanu (LED apgaismojums, gājēju celiņi, laukumi, velostatīvi, drošības žogi), uzstādīt norādes un informatīvās zīmes. Savukārt </w:t>
      </w:r>
      <w:r w:rsidRPr="00366D43">
        <w:rPr>
          <w:szCs w:val="24"/>
        </w:rPr>
        <w:t>MK noteikumu</w:t>
      </w:r>
      <w:r w:rsidRPr="00693C6D">
        <w:rPr>
          <w:szCs w:val="24"/>
        </w:rPr>
        <w:t xml:space="preserve">  12.5.punktā paredzēts, ka attiecināmas ir valsts publiskās lietošanas dzelzceļa infrastruktūras būvniecības, pārbūves vai atjaunošanas izmaksas, tostarp: 12.5.2.apakšpunktā </w:t>
      </w:r>
      <w:r>
        <w:rPr>
          <w:szCs w:val="24"/>
        </w:rPr>
        <w:t>–</w:t>
      </w:r>
      <w:r w:rsidRPr="00693C6D">
        <w:rPr>
          <w:szCs w:val="24"/>
        </w:rPr>
        <w:t xml:space="preserve"> labiekārtošanas izmaksas atbilstoši būvprojekta risinājumam ne vairāk kā 10 % apmērā no būvdarbu izmaksām. </w:t>
      </w:r>
    </w:p>
    <w:p w14:paraId="441EAC3E" w14:textId="77777777" w:rsidR="00E84CE9" w:rsidRDefault="00E84CE9" w:rsidP="00E84CE9">
      <w:pPr>
        <w:pStyle w:val="ListParagraph"/>
        <w:numPr>
          <w:ilvl w:val="0"/>
          <w:numId w:val="2"/>
        </w:numPr>
        <w:rPr>
          <w:szCs w:val="24"/>
        </w:rPr>
      </w:pPr>
      <w:r>
        <w:rPr>
          <w:szCs w:val="24"/>
        </w:rPr>
        <w:t>Lūdzam precizēt a</w:t>
      </w:r>
      <w:r w:rsidRPr="00D85E08">
        <w:rPr>
          <w:szCs w:val="24"/>
        </w:rPr>
        <w:t>notācijas</w:t>
      </w:r>
      <w:r>
        <w:rPr>
          <w:szCs w:val="24"/>
        </w:rPr>
        <w:t xml:space="preserve"> I sadaļas “</w:t>
      </w:r>
      <w:r w:rsidRPr="008D3973">
        <w:rPr>
          <w:szCs w:val="24"/>
        </w:rPr>
        <w:t>Tiesību akta projekta izstrādes nepieciešamība</w:t>
      </w:r>
      <w:r>
        <w:rPr>
          <w:szCs w:val="24"/>
        </w:rPr>
        <w:t>”</w:t>
      </w:r>
      <w:r w:rsidRPr="00D85E08">
        <w:rPr>
          <w:szCs w:val="24"/>
        </w:rPr>
        <w:t xml:space="preserve"> 2.punkta</w:t>
      </w:r>
      <w:r>
        <w:rPr>
          <w:szCs w:val="24"/>
        </w:rPr>
        <w:t xml:space="preserve"> “</w:t>
      </w:r>
      <w:r w:rsidRPr="008D3973">
        <w:rPr>
          <w:iCs/>
          <w:szCs w:val="24"/>
        </w:rPr>
        <w:t xml:space="preserve">Pašreizējā situācija un problēmas, kuru risināšanai tiesību akta projekts </w:t>
      </w:r>
      <w:r w:rsidRPr="008D3973">
        <w:rPr>
          <w:iCs/>
          <w:szCs w:val="24"/>
        </w:rPr>
        <w:lastRenderedPageBreak/>
        <w:t>izstrādāts, tiesiskā regulējuma mērķis un būtība</w:t>
      </w:r>
      <w:r>
        <w:rPr>
          <w:szCs w:val="24"/>
        </w:rPr>
        <w:t>”</w:t>
      </w:r>
      <w:r w:rsidRPr="00D85E08">
        <w:rPr>
          <w:szCs w:val="24"/>
        </w:rPr>
        <w:t xml:space="preserve"> pēdējā rindkopā atsauci uz </w:t>
      </w:r>
      <w:r>
        <w:rPr>
          <w:szCs w:val="24"/>
        </w:rPr>
        <w:t>MK</w:t>
      </w:r>
      <w:r w:rsidRPr="00D85E08">
        <w:rPr>
          <w:szCs w:val="24"/>
        </w:rPr>
        <w:t xml:space="preserve"> 2020.gada 30.jūnija sēdes protokollēmumu (prot. Nr.42), ņemot vērā, ka 59.§ nav 4.punkta.</w:t>
      </w:r>
      <w:r>
        <w:rPr>
          <w:szCs w:val="24"/>
        </w:rPr>
        <w:t xml:space="preserve"> </w:t>
      </w:r>
    </w:p>
    <w:p w14:paraId="441EAC3F" w14:textId="77777777" w:rsidR="00E84CE9" w:rsidRPr="009A41DD" w:rsidRDefault="00E84CE9" w:rsidP="00E84CE9">
      <w:pPr>
        <w:pStyle w:val="ListParagraph"/>
        <w:ind w:left="993"/>
        <w:rPr>
          <w:szCs w:val="24"/>
        </w:rPr>
      </w:pPr>
    </w:p>
    <w:p w14:paraId="441EAC40" w14:textId="77777777" w:rsidR="00E84CE9" w:rsidRPr="00C012A9" w:rsidRDefault="00E84CE9" w:rsidP="00E84CE9">
      <w:pPr>
        <w:ind w:firstLine="567"/>
        <w:rPr>
          <w:szCs w:val="24"/>
        </w:rPr>
      </w:pPr>
      <w:r w:rsidRPr="00123FF4">
        <w:rPr>
          <w:szCs w:val="24"/>
        </w:rPr>
        <w:t>Jautājumu gadījumā lūdzam sazināties ar FM Eiropas Savienības fondu stratēģijas departamenta Publisko investīciju attīstības nodaļas vecāko eksperti Elīnu Puriņu, tālr.67083939,</w:t>
      </w:r>
      <w:r w:rsidRPr="00123FF4">
        <w:t xml:space="preserve"> </w:t>
      </w:r>
      <w:hyperlink r:id="rId8" w:history="1">
        <w:r w:rsidRPr="00F64B74">
          <w:rPr>
            <w:rStyle w:val="Hyperlink"/>
          </w:rPr>
          <w:t>Elina.Purina@fm.gov.lv</w:t>
        </w:r>
      </w:hyperlink>
      <w:r w:rsidRPr="00123FF4">
        <w:t xml:space="preserve"> </w:t>
      </w:r>
      <w:r w:rsidRPr="00123FF4">
        <w:rPr>
          <w:szCs w:val="24"/>
        </w:rPr>
        <w:t>.</w:t>
      </w:r>
      <w:r w:rsidRPr="00C012A9">
        <w:rPr>
          <w:szCs w:val="24"/>
        </w:rPr>
        <w:t xml:space="preserve"> </w:t>
      </w:r>
    </w:p>
    <w:p w14:paraId="441EAC41" w14:textId="77777777" w:rsidR="00E84CE9" w:rsidRPr="00615936" w:rsidRDefault="00E84CE9" w:rsidP="00E84CE9">
      <w:pPr>
        <w:ind w:firstLine="709"/>
        <w:rPr>
          <w:szCs w:val="24"/>
        </w:rPr>
      </w:pPr>
    </w:p>
    <w:p w14:paraId="441EAC42" w14:textId="77777777" w:rsidR="00E84CE9" w:rsidRPr="00615936" w:rsidRDefault="00E84CE9" w:rsidP="00E84CE9">
      <w:pPr>
        <w:rPr>
          <w:szCs w:val="24"/>
        </w:rPr>
      </w:pPr>
    </w:p>
    <w:p w14:paraId="441EAC43" w14:textId="77777777" w:rsidR="00557B49" w:rsidRPr="00615936" w:rsidRDefault="00E84CE9" w:rsidP="00AE7123">
      <w:pPr>
        <w:ind w:firstLine="720"/>
        <w:rPr>
          <w:szCs w:val="24"/>
        </w:rPr>
      </w:pPr>
      <w:r w:rsidRPr="00C012A9">
        <w:rPr>
          <w:szCs w:val="24"/>
        </w:rPr>
        <w:t>Ar cieņu</w:t>
      </w:r>
    </w:p>
    <w:p w14:paraId="441EAC44"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41EAC49" w14:textId="77777777" w:rsidTr="00AA6DC1">
        <w:tc>
          <w:tcPr>
            <w:tcW w:w="4395" w:type="dxa"/>
          </w:tcPr>
          <w:p w14:paraId="441EAC45" w14:textId="77777777" w:rsidR="00180938" w:rsidRDefault="00180938" w:rsidP="007F3771">
            <w:pPr>
              <w:rPr>
                <w:szCs w:val="24"/>
              </w:rPr>
            </w:pPr>
            <w:r>
              <w:rPr>
                <w:szCs w:val="24"/>
              </w:rPr>
              <w:t xml:space="preserve">Valsts sekretāres vietnieks </w:t>
            </w:r>
          </w:p>
          <w:p w14:paraId="441EAC46" w14:textId="77777777" w:rsidR="00AA6DC1" w:rsidRPr="00615936" w:rsidRDefault="00180938" w:rsidP="007F3771">
            <w:pPr>
              <w:rPr>
                <w:szCs w:val="24"/>
              </w:rPr>
            </w:pPr>
            <w:r>
              <w:rPr>
                <w:szCs w:val="24"/>
              </w:rPr>
              <w:t>Eiropas Savienības struktūrfondu un Kohēzijas fonda jautājumos</w:t>
            </w:r>
          </w:p>
        </w:tc>
        <w:tc>
          <w:tcPr>
            <w:tcW w:w="1984" w:type="dxa"/>
          </w:tcPr>
          <w:p w14:paraId="441EAC47"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441EAC48" w14:textId="77777777" w:rsidR="00AA6DC1" w:rsidRPr="00615936" w:rsidRDefault="00180938" w:rsidP="00483407">
            <w:pPr>
              <w:jc w:val="right"/>
              <w:rPr>
                <w:szCs w:val="24"/>
              </w:rPr>
            </w:pPr>
            <w:r>
              <w:rPr>
                <w:szCs w:val="24"/>
              </w:rPr>
              <w:t>A.Eberhards</w:t>
            </w:r>
          </w:p>
        </w:tc>
      </w:tr>
      <w:tr w:rsidR="00AA6DC1" w:rsidRPr="00615936" w14:paraId="441EAC4D" w14:textId="77777777" w:rsidTr="00AA6DC1">
        <w:tc>
          <w:tcPr>
            <w:tcW w:w="4395" w:type="dxa"/>
          </w:tcPr>
          <w:p w14:paraId="441EAC4A" w14:textId="77777777" w:rsidR="00AA6DC1" w:rsidRPr="00615936" w:rsidRDefault="00AA6DC1" w:rsidP="007F3771">
            <w:pPr>
              <w:rPr>
                <w:szCs w:val="24"/>
              </w:rPr>
            </w:pPr>
          </w:p>
        </w:tc>
        <w:tc>
          <w:tcPr>
            <w:tcW w:w="1984" w:type="dxa"/>
          </w:tcPr>
          <w:p w14:paraId="441EAC4B" w14:textId="77777777" w:rsidR="00AA6DC1" w:rsidRPr="00615936" w:rsidRDefault="00AA6DC1" w:rsidP="000C0DD4">
            <w:pPr>
              <w:jc w:val="right"/>
              <w:rPr>
                <w:szCs w:val="24"/>
              </w:rPr>
            </w:pPr>
          </w:p>
        </w:tc>
        <w:tc>
          <w:tcPr>
            <w:tcW w:w="2977" w:type="dxa"/>
            <w:vAlign w:val="bottom"/>
          </w:tcPr>
          <w:p w14:paraId="441EAC4C"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41EAC4F" w14:textId="77777777" w:rsidTr="00AA6DC1">
        <w:trPr>
          <w:cantSplit/>
          <w:trHeight w:val="615"/>
        </w:trPr>
        <w:tc>
          <w:tcPr>
            <w:tcW w:w="8647" w:type="dxa"/>
          </w:tcPr>
          <w:p w14:paraId="441EAC4E"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441EAC50" w14:textId="77777777" w:rsidR="00826D51" w:rsidRDefault="00826D51" w:rsidP="007F3771">
      <w:pPr>
        <w:rPr>
          <w:sz w:val="20"/>
        </w:rPr>
      </w:pPr>
    </w:p>
    <w:p w14:paraId="441EAC51" w14:textId="77777777" w:rsidR="00E84CE9" w:rsidRPr="005C68D4" w:rsidRDefault="00E84CE9" w:rsidP="00E84CE9">
      <w:pPr>
        <w:ind w:firstLine="142"/>
        <w:rPr>
          <w:sz w:val="20"/>
        </w:rPr>
      </w:pPr>
      <w:r w:rsidRPr="005C68D4">
        <w:rPr>
          <w:sz w:val="20"/>
        </w:rPr>
        <w:t>Eiropas Savienības fondu stratēģijas departamenta</w:t>
      </w:r>
    </w:p>
    <w:p w14:paraId="441EAC52" w14:textId="77777777" w:rsidR="00E84CE9" w:rsidRPr="005C68D4" w:rsidRDefault="00E84CE9" w:rsidP="00E84CE9">
      <w:pPr>
        <w:ind w:firstLine="142"/>
        <w:rPr>
          <w:sz w:val="20"/>
        </w:rPr>
      </w:pPr>
      <w:r w:rsidRPr="005C68D4">
        <w:rPr>
          <w:sz w:val="20"/>
        </w:rPr>
        <w:t>Publisko investīciju attīstības nodaļas vecākā eksperte</w:t>
      </w:r>
    </w:p>
    <w:p w14:paraId="441EAC53" w14:textId="77777777" w:rsidR="00E84CE9" w:rsidRPr="005C68D4" w:rsidRDefault="00E84CE9" w:rsidP="00E84CE9">
      <w:pPr>
        <w:ind w:firstLine="142"/>
        <w:rPr>
          <w:sz w:val="20"/>
        </w:rPr>
      </w:pPr>
      <w:r w:rsidRPr="005C68D4">
        <w:rPr>
          <w:sz w:val="20"/>
        </w:rPr>
        <w:t>Elīna Puriņa,  67083939</w:t>
      </w:r>
    </w:p>
    <w:p w14:paraId="441EAC54" w14:textId="77777777" w:rsidR="00E84CE9" w:rsidRDefault="009E12A1" w:rsidP="00E84CE9">
      <w:pPr>
        <w:ind w:firstLine="142"/>
        <w:rPr>
          <w:sz w:val="20"/>
        </w:rPr>
      </w:pPr>
      <w:hyperlink r:id="rId9" w:history="1">
        <w:r w:rsidR="00E84CE9" w:rsidRPr="00F64B74">
          <w:rPr>
            <w:rStyle w:val="Hyperlink"/>
            <w:sz w:val="20"/>
          </w:rPr>
          <w:t>Elina.Purina@fm.gov.lv</w:t>
        </w:r>
      </w:hyperlink>
      <w:r w:rsidR="00E84CE9">
        <w:rPr>
          <w:sz w:val="20"/>
        </w:rPr>
        <w:t xml:space="preserve"> </w:t>
      </w:r>
    </w:p>
    <w:p w14:paraId="441EAC55" w14:textId="77777777" w:rsidR="00E84CE9" w:rsidRDefault="00E84CE9" w:rsidP="00E84CE9">
      <w:pPr>
        <w:ind w:firstLine="142"/>
        <w:rPr>
          <w:sz w:val="20"/>
        </w:rPr>
      </w:pPr>
    </w:p>
    <w:p w14:paraId="441EAC56" w14:textId="77777777" w:rsidR="00E84CE9" w:rsidRPr="004619D0" w:rsidRDefault="00E84CE9" w:rsidP="00E84CE9">
      <w:pPr>
        <w:ind w:firstLine="142"/>
        <w:rPr>
          <w:sz w:val="20"/>
        </w:rPr>
      </w:pPr>
      <w:r w:rsidRPr="004619D0">
        <w:rPr>
          <w:sz w:val="20"/>
        </w:rPr>
        <w:t xml:space="preserve">ES fondu sistēmas vadības departamenta </w:t>
      </w:r>
    </w:p>
    <w:p w14:paraId="441EAC57" w14:textId="77777777" w:rsidR="00E84CE9" w:rsidRPr="004619D0" w:rsidRDefault="00E84CE9" w:rsidP="00E84CE9">
      <w:pPr>
        <w:ind w:firstLine="142"/>
        <w:rPr>
          <w:sz w:val="20"/>
        </w:rPr>
      </w:pPr>
      <w:r w:rsidRPr="004619D0">
        <w:rPr>
          <w:sz w:val="20"/>
        </w:rPr>
        <w:t>Eiropas Savienības fondu tiesiskā nodrošinājuma nodaļas juriskonsulte</w:t>
      </w:r>
    </w:p>
    <w:p w14:paraId="441EAC58" w14:textId="77777777" w:rsidR="00E84CE9" w:rsidRPr="004619D0" w:rsidRDefault="00E84CE9" w:rsidP="00E84CE9">
      <w:pPr>
        <w:ind w:firstLine="142"/>
        <w:rPr>
          <w:sz w:val="20"/>
        </w:rPr>
      </w:pPr>
      <w:r w:rsidRPr="004619D0">
        <w:rPr>
          <w:sz w:val="20"/>
        </w:rPr>
        <w:t>Jekaterina Kapilova, 67083936</w:t>
      </w:r>
    </w:p>
    <w:p w14:paraId="441EAC59" w14:textId="77777777" w:rsidR="00E84CE9" w:rsidRPr="004619D0" w:rsidRDefault="009E12A1" w:rsidP="00E84CE9">
      <w:pPr>
        <w:ind w:firstLine="142"/>
        <w:rPr>
          <w:rStyle w:val="Hyperlink"/>
          <w:sz w:val="20"/>
        </w:rPr>
      </w:pPr>
      <w:hyperlink r:id="rId10" w:history="1">
        <w:r w:rsidR="00E84CE9" w:rsidRPr="004619D0">
          <w:rPr>
            <w:rStyle w:val="Hyperlink"/>
            <w:sz w:val="20"/>
          </w:rPr>
          <w:t>Jekaterina.Kapilova@fm.gov.lv</w:t>
        </w:r>
      </w:hyperlink>
    </w:p>
    <w:p w14:paraId="441EAC5A" w14:textId="77777777" w:rsidR="00E84CE9" w:rsidRPr="004619D0" w:rsidRDefault="00E84CE9" w:rsidP="00E84CE9">
      <w:pPr>
        <w:ind w:firstLine="142"/>
        <w:rPr>
          <w:rStyle w:val="Hyperlink"/>
          <w:sz w:val="20"/>
        </w:rPr>
      </w:pPr>
    </w:p>
    <w:p w14:paraId="441EAC5B" w14:textId="77777777" w:rsidR="00E84CE9" w:rsidRPr="004619D0" w:rsidRDefault="00E84CE9" w:rsidP="00E84CE9">
      <w:pPr>
        <w:ind w:firstLine="142"/>
        <w:rPr>
          <w:sz w:val="20"/>
        </w:rPr>
      </w:pPr>
      <w:r w:rsidRPr="004619D0">
        <w:rPr>
          <w:sz w:val="20"/>
        </w:rPr>
        <w:t xml:space="preserve">Budžeta departamenta </w:t>
      </w:r>
    </w:p>
    <w:p w14:paraId="441EAC5C" w14:textId="77777777" w:rsidR="00E84CE9" w:rsidRPr="00C00EB9" w:rsidRDefault="00E84CE9" w:rsidP="00E84CE9">
      <w:pPr>
        <w:ind w:firstLine="142"/>
        <w:rPr>
          <w:sz w:val="20"/>
        </w:rPr>
      </w:pPr>
      <w:r w:rsidRPr="004619D0">
        <w:rPr>
          <w:sz w:val="20"/>
        </w:rPr>
        <w:t>Reģionālās attīstības, vides, zemkopības un satiksmes finansēšanas nodaļas vecākā eksperte</w:t>
      </w:r>
    </w:p>
    <w:p w14:paraId="441EAC5D" w14:textId="77777777" w:rsidR="00E84CE9" w:rsidRPr="00C00EB9" w:rsidRDefault="00E84CE9" w:rsidP="00E84CE9">
      <w:pPr>
        <w:ind w:firstLine="142"/>
        <w:rPr>
          <w:sz w:val="20"/>
        </w:rPr>
      </w:pPr>
      <w:r>
        <w:rPr>
          <w:sz w:val="20"/>
        </w:rPr>
        <w:t>Guna Federe</w:t>
      </w:r>
      <w:r w:rsidRPr="00C00EB9">
        <w:rPr>
          <w:sz w:val="20"/>
        </w:rPr>
        <w:t xml:space="preserve">, </w:t>
      </w:r>
      <w:r w:rsidRPr="00DC11CF">
        <w:rPr>
          <w:sz w:val="20"/>
        </w:rPr>
        <w:t>67095444</w:t>
      </w:r>
    </w:p>
    <w:p w14:paraId="441EAC5E" w14:textId="77777777" w:rsidR="00E84CE9" w:rsidRDefault="009E12A1" w:rsidP="00E84CE9">
      <w:pPr>
        <w:ind w:firstLine="142"/>
        <w:rPr>
          <w:rStyle w:val="Hyperlink"/>
          <w:sz w:val="20"/>
        </w:rPr>
      </w:pPr>
      <w:hyperlink r:id="rId11" w:history="1">
        <w:r w:rsidR="00E84CE9" w:rsidRPr="00F509DA">
          <w:rPr>
            <w:rStyle w:val="Hyperlink"/>
            <w:sz w:val="20"/>
          </w:rPr>
          <w:t>Guna.Federe@fm.gov.lv</w:t>
        </w:r>
      </w:hyperlink>
      <w:r w:rsidR="00E84CE9">
        <w:rPr>
          <w:rStyle w:val="Hyperlink"/>
          <w:sz w:val="20"/>
        </w:rPr>
        <w:t xml:space="preserve"> </w:t>
      </w:r>
    </w:p>
    <w:p w14:paraId="441EAC5F" w14:textId="77777777" w:rsidR="00E84CE9" w:rsidRDefault="00E84CE9" w:rsidP="00E84CE9">
      <w:pPr>
        <w:ind w:firstLine="142"/>
        <w:rPr>
          <w:rStyle w:val="Hyperlink"/>
          <w:sz w:val="20"/>
        </w:rPr>
      </w:pPr>
    </w:p>
    <w:p w14:paraId="441EAC60" w14:textId="77777777" w:rsidR="00E84CE9" w:rsidRDefault="00E84CE9" w:rsidP="00E84CE9">
      <w:pPr>
        <w:ind w:firstLine="142"/>
        <w:rPr>
          <w:sz w:val="20"/>
        </w:rPr>
      </w:pPr>
      <w:r>
        <w:rPr>
          <w:sz w:val="20"/>
        </w:rPr>
        <w:t>Centrālās finanšu un līgumu aģentūras</w:t>
      </w:r>
    </w:p>
    <w:p w14:paraId="441EAC61" w14:textId="77777777" w:rsidR="00E84CE9" w:rsidRDefault="00E84CE9" w:rsidP="00E84CE9">
      <w:pPr>
        <w:ind w:firstLine="142"/>
        <w:rPr>
          <w:sz w:val="20"/>
        </w:rPr>
      </w:pPr>
      <w:r w:rsidRPr="004619D0">
        <w:rPr>
          <w:sz w:val="20"/>
        </w:rPr>
        <w:t xml:space="preserve">Satiksmes infrastruktūras projektu nodaļas vadītāja </w:t>
      </w:r>
    </w:p>
    <w:p w14:paraId="441EAC62" w14:textId="77777777" w:rsidR="00E84CE9" w:rsidRDefault="00E84CE9" w:rsidP="00E84CE9">
      <w:pPr>
        <w:ind w:firstLine="142"/>
        <w:rPr>
          <w:sz w:val="20"/>
        </w:rPr>
      </w:pPr>
      <w:r>
        <w:rPr>
          <w:sz w:val="20"/>
        </w:rPr>
        <w:t xml:space="preserve">Liāna Teilāne, </w:t>
      </w:r>
      <w:r w:rsidRPr="004619D0">
        <w:rPr>
          <w:sz w:val="20"/>
        </w:rPr>
        <w:t>27058283</w:t>
      </w:r>
    </w:p>
    <w:p w14:paraId="441EAC63" w14:textId="77777777" w:rsidR="000C0DD4" w:rsidRDefault="009E12A1" w:rsidP="00E84CE9">
      <w:pPr>
        <w:ind w:firstLine="142"/>
        <w:rPr>
          <w:sz w:val="20"/>
        </w:rPr>
      </w:pPr>
      <w:hyperlink r:id="rId12" w:history="1">
        <w:r w:rsidR="00E84CE9" w:rsidRPr="00F509DA">
          <w:rPr>
            <w:rStyle w:val="Hyperlink"/>
            <w:sz w:val="20"/>
          </w:rPr>
          <w:t>Liana.Teilane@cfla.gov.lv</w:t>
        </w:r>
      </w:hyperlink>
      <w:r w:rsidR="00E84CE9">
        <w:rPr>
          <w:rStyle w:val="Hyperlink"/>
          <w:sz w:val="20"/>
        </w:rPr>
        <w:t xml:space="preserve"> </w:t>
      </w:r>
    </w:p>
    <w:p w14:paraId="441EAC64" w14:textId="77777777" w:rsidR="000C0DD4" w:rsidRPr="006D6710" w:rsidRDefault="000C0DD4" w:rsidP="007F3771">
      <w:pPr>
        <w:rPr>
          <w:sz w:val="20"/>
        </w:rPr>
      </w:pPr>
    </w:p>
    <w:sectPr w:rsidR="000C0DD4" w:rsidRPr="006D6710" w:rsidSect="002C22B9">
      <w:headerReference w:type="even" r:id="rId13"/>
      <w:headerReference w:type="default" r:id="rId14"/>
      <w:footerReference w:type="even" r:id="rId15"/>
      <w:footerReference w:type="default" r:id="rId16"/>
      <w:headerReference w:type="first" r:id="rId17"/>
      <w:footerReference w:type="first" r:id="rId18"/>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AC67" w14:textId="77777777" w:rsidR="00A0272C" w:rsidRDefault="00A0272C">
      <w:r>
        <w:separator/>
      </w:r>
    </w:p>
  </w:endnote>
  <w:endnote w:type="continuationSeparator" w:id="0">
    <w:p w14:paraId="441EAC68" w14:textId="77777777" w:rsidR="00A0272C" w:rsidRDefault="00A0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AC6C"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41EAC6D"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D386D">
          <w:rPr>
            <w:noProof/>
            <w:sz w:val="24"/>
            <w:szCs w:val="24"/>
          </w:rPr>
          <w:t>3</w:t>
        </w:r>
        <w:r w:rsidRPr="00557B49">
          <w:rPr>
            <w:sz w:val="24"/>
            <w:szCs w:val="24"/>
          </w:rPr>
          <w:fldChar w:fldCharType="end"/>
        </w:r>
      </w:p>
    </w:sdtContent>
  </w:sdt>
  <w:p w14:paraId="441EAC6E"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AC7D" w14:textId="77777777" w:rsidR="0015384D" w:rsidRDefault="0015384D">
    <w:pPr>
      <w:pStyle w:val="Footer"/>
      <w:jc w:val="center"/>
    </w:pPr>
  </w:p>
  <w:p w14:paraId="441EAC7E"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EAC65" w14:textId="77777777" w:rsidR="00A0272C" w:rsidRDefault="00A0272C">
      <w:r>
        <w:separator/>
      </w:r>
    </w:p>
  </w:footnote>
  <w:footnote w:type="continuationSeparator" w:id="0">
    <w:p w14:paraId="441EAC66" w14:textId="77777777" w:rsidR="00A0272C" w:rsidRDefault="00A02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AC69"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41EAC6A"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AC6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AC6F" w14:textId="77777777" w:rsidR="002C22B9" w:rsidRDefault="002C22B9">
    <w:pPr>
      <w:pStyle w:val="Header"/>
    </w:pPr>
  </w:p>
  <w:p w14:paraId="441EAC70" w14:textId="77777777" w:rsidR="002C22B9" w:rsidRDefault="002C22B9">
    <w:pPr>
      <w:pStyle w:val="Header"/>
    </w:pPr>
  </w:p>
  <w:p w14:paraId="441EAC71" w14:textId="77777777" w:rsidR="002C22B9" w:rsidRDefault="002C22B9">
    <w:pPr>
      <w:pStyle w:val="Header"/>
    </w:pPr>
  </w:p>
  <w:p w14:paraId="441EAC7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41EAC7F" wp14:editId="441EAC8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EAC8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v:textbox inset="0,0,0,0">
                <w:txbxContent>
                  <w:p w:rsidR="002C22B9" w:rsidP="002C22B9" w:rsidRDefault="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41EAC81" wp14:editId="441EAC8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EAC73" w14:textId="77777777" w:rsidR="002C22B9" w:rsidRDefault="002C22B9">
    <w:pPr>
      <w:pStyle w:val="Header"/>
    </w:pPr>
  </w:p>
  <w:p w14:paraId="441EAC74" w14:textId="77777777" w:rsidR="002C22B9" w:rsidRDefault="002C22B9">
    <w:pPr>
      <w:pStyle w:val="Header"/>
    </w:pPr>
  </w:p>
  <w:p w14:paraId="441EAC75" w14:textId="77777777" w:rsidR="002C22B9" w:rsidRDefault="002C22B9">
    <w:pPr>
      <w:pStyle w:val="Header"/>
    </w:pPr>
  </w:p>
  <w:p w14:paraId="441EAC76" w14:textId="77777777" w:rsidR="002C22B9" w:rsidRDefault="002C22B9">
    <w:pPr>
      <w:pStyle w:val="Header"/>
    </w:pPr>
  </w:p>
  <w:p w14:paraId="441EAC77" w14:textId="77777777" w:rsidR="002C22B9" w:rsidRDefault="002C22B9">
    <w:pPr>
      <w:pStyle w:val="Header"/>
    </w:pPr>
  </w:p>
  <w:p w14:paraId="441EAC78" w14:textId="77777777" w:rsidR="002C22B9" w:rsidRDefault="002C22B9">
    <w:pPr>
      <w:pStyle w:val="Header"/>
    </w:pPr>
  </w:p>
  <w:p w14:paraId="441EAC7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41EAC83" wp14:editId="441EAC8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14:paraId="441EAC7A" w14:textId="77777777" w:rsidR="002C22B9" w:rsidRDefault="002C22B9">
    <w:pPr>
      <w:pStyle w:val="Header"/>
    </w:pPr>
  </w:p>
  <w:p w14:paraId="441EAC7B" w14:textId="77777777" w:rsidR="002C22B9" w:rsidRDefault="002C22B9">
    <w:pPr>
      <w:pStyle w:val="Header"/>
    </w:pPr>
  </w:p>
  <w:p w14:paraId="441EAC7C"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84ED5"/>
    <w:multiLevelType w:val="hybridMultilevel"/>
    <w:tmpl w:val="F266C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15C341D"/>
    <w:multiLevelType w:val="hybridMultilevel"/>
    <w:tmpl w:val="F752CF28"/>
    <w:lvl w:ilvl="0" w:tplc="2C8EC5F8">
      <w:start w:val="1"/>
      <w:numFmt w:val="decimal"/>
      <w:lvlText w:val="%1."/>
      <w:lvlJc w:val="left"/>
      <w:pPr>
        <w:ind w:left="1004" w:hanging="360"/>
      </w:pPr>
      <w:rPr>
        <w:sz w:val="24"/>
      </w:rPr>
    </w:lvl>
    <w:lvl w:ilvl="1" w:tplc="1908ACC8">
      <w:numFmt w:val="bullet"/>
      <w:lvlText w:val="•"/>
      <w:lvlJc w:val="left"/>
      <w:pPr>
        <w:ind w:left="1799" w:hanging="435"/>
      </w:pPr>
      <w:rPr>
        <w:rFonts w:ascii="Times New Roman" w:eastAsia="Times New Roman" w:hAnsi="Times New Roman" w:cs="Times New Roman" w:hint="default"/>
      </w:r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0938"/>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1BE1"/>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D386D"/>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41DD"/>
    <w:rsid w:val="009B2296"/>
    <w:rsid w:val="009B7929"/>
    <w:rsid w:val="009C643F"/>
    <w:rsid w:val="009E12A1"/>
    <w:rsid w:val="009E200C"/>
    <w:rsid w:val="009F3293"/>
    <w:rsid w:val="009F77B9"/>
    <w:rsid w:val="00A0272C"/>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E7123"/>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5C4F"/>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84CE9"/>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41EAC16"/>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E84CE9"/>
    <w:pPr>
      <w:ind w:left="720"/>
      <w:contextualSpacing/>
    </w:pPr>
  </w:style>
  <w:style w:type="paragraph" w:customStyle="1" w:styleId="Default">
    <w:name w:val="Default"/>
    <w:rsid w:val="00E84CE9"/>
    <w:pPr>
      <w:autoSpaceDE w:val="0"/>
      <w:autoSpaceDN w:val="0"/>
      <w:adjustRightInd w:val="0"/>
    </w:pPr>
    <w:rPr>
      <w:color w:val="000000"/>
      <w:sz w:val="24"/>
      <w:szCs w:val="24"/>
      <w:lang w:eastAsia="en-US"/>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link w:val="ListParagraph"/>
    <w:uiPriority w:val="34"/>
    <w:qFormat/>
    <w:locked/>
    <w:rsid w:val="00E84CE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Purina@fm.gov.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na.Teilane@cfla.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a.Federe@f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ekaterina.Kapilova@fm.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ina.Purina@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A4455-99A1-430E-8057-21D67C6C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6983</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Puriņa E.</dc:creator>
  <dc:description>Sagatavots ALS E-aprites vidē.</dc:description>
  <cp:lastModifiedBy>Laura Muižniece</cp:lastModifiedBy>
  <cp:revision>2</cp:revision>
  <cp:lastPrinted>2007-06-25T10:49:00Z</cp:lastPrinted>
  <dcterms:created xsi:type="dcterms:W3CDTF">2021-10-28T08:52:00Z</dcterms:created>
  <dcterms:modified xsi:type="dcterms:W3CDTF">2021-10-28T08:52:00Z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