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25-TA-496: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atbalstītie uzņēmumi (tai skaitā mikrouzņēmumi, mazie, vidējie un lielie uzņēmumi). Iznākuma rādītāja vērtība tiek sasniegta, ja otrās kārtas projekta ietvaros veikti ieguldījumi, nodrošinot atbalstu vienam uzņēmumam;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nevis komercdarbības vai saimnieciskās darbības subjektu. Ņemot vērā minēto, lūdzam izvērtēt un nepieciešamības gadījumā precizēt visu noteikumu projektu, termina “uzņēmums” vietā lietojot juridiski korektus apzīmējumus –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termins “uzņēmums” šādā interpretācijā piemērots attiecināmajās Eiropas Komisijas regulās, direktīvās, kā arī lēmumos, tādēļ, lai novērstu no Eiropas Komisijas regulām un direktīvām atšķirīgu interpretāciju un izpratni, termins “uzņēmums” tieši pārnests noteikumu projektā un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šāda iznākuma rādītāja definīcija ietverta Eiropas Savienības kohēzijas politikas programmas 2021.–2027.gadam 4. tabulā, to izraugoties atbilstoši Eiropas Parlamenta un Padomes 2021. gada 24. jūnija Regulas (ES) 2021/1058 par Eiropas Reģionālās attīstības fondu un Kohēzijas fondu I pielikuma 1. tabulai.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iznākuma rādītāja definīcija un vērtība ietverta arī citos šī plānošanas perioda investīciju pasākumu regulējošos Ministru kabineta noteikumos,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7. maija noteikumi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 (23-TA-3286);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17. decembra noteikumi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 (24-TA-1504);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26. marta noteikumi Nr. 197 "Eiropas Savienības kohēzijas politikas programmas 2021.–2027. gadam 2.2.2. specifiskā atbalsta mērķa "Pārejas uz aprites ekonomiku veicināšana" 2.2.2.2. pasākuma "Atkritumu dalītā vākšana" projektu iesniegumu pirmās atlases kārtas īstenošanas noteikumi" (23-TA-2341).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atbalstītie uzņēmumi (tai skaitā mikrouzņēmumi, mazie, vidējie un lielie uzņēmumi). Iznākuma rādītāja vērtība tiek sasniegta, ja otrās kārtas projekta ietvaros veikti ieguldījumi, nodrošinot atbalstu vienam uzņēmumam;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ir attiecināmas no 2023. gada 1. janvāra. Ja projekts ir pabeigts pirms projekta iesnieguma iesniegšanas sadarbības iestādē, projekta iesniegums tiek noraidīts.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izmaksas ir attiecināmas no 2023. gada 1. janvāra, savukārt, ja projekts ir pabeigts pirms projekta iesnieguma iesniegšanas sadarbības iestādē, projekta iesniegums tiek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sniegts skaidrojums, kāpēc tieši 2023. gada 1. janvāris ir noteikts kā attiecināmo izmaksu sākuma datums un kā šī izvēle ir pamatota ar atbilstošajiem normatīvajiem vai politikas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attiecināmo izmaksu sākuma datuma izvēles pamatojumu, lai nodrošinātu tiesisko skaidrību un atbilstību Eiropas Savienības fondu izmantošanas un projektu finansēšanas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un papildināta anotācija. Eiropas Savienības fondu 2021.—2027. gada plānošanas perioda vadības likuma 36. pantā (analogi Eiropas Parlamenta un Padomes 2021. gada 24. jūnija Regulas (ES) Nr. 2021/1060, ar ko paredz kopīgus noteikumus par Eiropas Reģionālās attīstības fondu, Eiropas Sociālo fondu Plus, Kohēzijas fondu, TPF un Eiropas Jūrlietu, zvejniecības un akvakultūras fondu un finanšu noteikumus attiecībā uz tiem un uz Patvēruma, migrācijas un integrācijas fondu, Iekšējās drošības fondu un Finansiāla atbalsta instrumentu robežu pārvaldībai un vīzu politikai 63. panta 2. punktam) noteikts, ka projektā radušās izmaksas uzskatāmas par attiecināmām, ja radušās pēc 2021. gada 1. janvāra, kā arī citu termiņu atbilstoši Eiropas Savienības fondu 2021.—2027. gada plānošanas perioda vadības likuma 19. pantā noteiktajām kompetencēm nav noteikusi atbildīgā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2022. gada 26. oktobrī Eiropas Komisija publicēja priekšlikumu par Eiropas Parlamenta un Padomes Direktīvas par komunālo notekūdeņu attīrīšanu redakcijas pārstrādāšanu (COM/2022/541 final) [1], ņemot vērā, ka Direktīva par komunālo notekūdeņu attīrīšanu (91/271/EEK) tika publicēta 1991. gadā (kopš tās pieņemšanas 1991. gadā līdz 2022. gada sākumam pagājis 31 gads) un tās pārskatīšana nepieciešama Eiropas zaļā kursa mērķu sasniegšanai, tostarp ir Nulles piesārņojuma rīcības plāna īstenošanas rezultāts. Respektīvi, jau 2022. gada ceturtajā ceturksnī dalībvalstīm un to ūdenssaimniecības uzņēmumiem bija pieejama informācija par jaunu prasību ieviešanu komunālo notekūdeņu attīrīšanas jomā, tostarp norādīti sasniedzamie starpposma rezultāti 2025., 2030., 2035. un 2040. gadā. Tādējādi laikus tika sniegta informācija, ka nepieciešams īstenot pasākumus pārstrādātās Direktīvas redakcijas mērķu ieviešanai, un to plānošanu iespējams uzsākt iespējami ātrāk. Ņemot vērā minēto, uzreiz pēc iepriekšminētā priekšlikuma publicēšanas, ūdensapgādes uzņēmumiem bija iespējams sākt nepieciešamo darbību plānošanu. 2024. gada 31. oktobrī tika publicēts dalībvalstu viedokļu apkopojums, kurā Latvija norādījusi, ka šo mērķu sasniegšanai nepieciešams liels finansējuma apjoms, tādēļ, lai atbalstītu ūdenssaimniecības pakalpojumu sniedzējus, nepieciešams sniegt papildus atbalstu, finanšu līdzekļus nodrošinot arī daudzgadu finanšu shēmas ietvaros.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ņemt vērā, ka Notekūdeņu apsaimniekošanas investīciju plāns 2021.-2027. gadam izstrādāts 2019.-2020. gadā, tātad šinī plānā identificēto pasākumu veikšanai nepieciešamo darbību plānošanu bija iespējams uzsākt jau 2020.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šī atlases kārta īstenojama kā ierobežota projektu iesniegumu atlase, un atbalstāmās darbības, attiecināmās izmaksas un tās papildinošie nosacījumi veidoti, lai atbalstītu VARAM apzinātās finansējuma saņēmēja nepieciešamības, kā arī sekmētu kopējo N+3 mērķa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https://law-tracker.europa.eu/procedure/2022_345?lang=en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https://data.consilium.europa.eu/doc/document/ST-14488-2024-ADD-1-REV-4/en/pdf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Izmaksas ir attiecināmas no 2023. gada 1. janvāra. Ja projekts ir pabeigts pirms projekta iesnieguma iesniegšanas sadarbības iestādē, projekta iesniegums tiek noraidīts.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līguma darbības laiku, kas nav īsāks par pieciem gadiem un nepārsniedz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pakalpojuma līgumā plānots norādīta 12.3.apakšpunktā minēto darbības laiku, ja pasākuma īstenošanas un ERAF finansējuma attiecināšanas laiks laiks noteikts 31.12.2029.?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Kā norādīts Noteikumu projekta 12.7. apakšpunktā un anotācijas 1.3. sadaļā, Noteikumu projekta 12. punktā un tā apakšpunktos aprakstītie nosacījumi ir izrietoši no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[1], ņemot vērā, ka šīs investīciju programmas ietvaros komercdarbības atbalstu sabiedrisko ūdenssaimniecības pakalpojumu sniedzējiem piešķir kā kompensāciju par sabiedriskajiem pakalpojumiem dažiem uzņēmumiem, kuriem uzticēts sniegt pakalpojumus ar vispārēju tautsaimniecisku nozīmi, respektīvi, iepriekšminētā Komisijas Lēmuma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Lēmuma 2. panta 2. punktā norādīts, ka "lēmums ir piemērojams tikai tad, ja periods, kurā uzņēmumam uzticēts sniegt pakalpojumu ar vispārēju tautsaimniecisku nozīmi nepārsniedz desmit gadus". Arī Finanšu ministrija Pārskatā par Latvijā sniegto atbalstu pakalpojumiem ar vispārēju tautsaimniecisku nozīmi 2020. un 2021. gadā norādījusi, ka "sabiedrisko pakalpojumu līguma darbības termiņš ir paredzēts robežās no 5 līdz 10 gadiem. Lai varētu pretendēt uz atlīdzības maksājumiem, sabiedrisko pakalpojumu līgumam ir jābūt ar darbības laiku, kas nav mazāks par 5 gadiem un nepārsniedz 10 gadus" [2]. Vienlaikus nosacījums par līguma darbības termiņu, kas nav mazāks par pieciem gadiem, nodrošina Regulas 2021/1060 65. panta 1. punkta nosacījumu izpildi, tas ir, projekta ietvaros veiktās investīcijas infrastruktūrā ir jāuztur vismaz piecus gadus pēc noslēguma maksājuma.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šāds ilgtspējas nosacījums ietverts gan 2014.-2020. gada, gan 2021.-2027. gada plānošanas perioda investīciju pasākumus regulējošos noteikumos,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2016. gada 21. jūnija noteikumi Nr. 403 "Darbības programmas "Izaugsme un nodarbinātība" 5.3.1. specifiskā atbalsta mērķa "Attīstīt un uzlabot ūdensapgādes un kanalizācijas sistēmas pakalpojumu kvalitāti un nodrošināt pieslēgšanas iespējas"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7. maija noteikumi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 (23-TA-3286).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https://eur-lex.europa.eu/legal-content/LV/ALL/?uri=CELEX:32012D0021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https://www.fm.gov.lv/lv/media/13053/download?attachment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līguma darbības laiku, kas nav īsāks par pieciem gadiem un nepārsniedz 10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dzīves cikls ir 30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18.punktā un 20.3. apakšpunktā noteikto  projekta dzīves cikla termiņu un infrastruktūras īpašumtiesību saglabāšanas termiņu, t.i., 30 gadi, lūdzam anotācijas ietvaros skaidrot par minētā regulējuma uzraudzību, un no kādiem līdzekļiem tā tiks segta, ņemot vērā Eiropas Savienības fondu tehniskās palīdzības ierobežoto pieejamību. Tāpat lūdzam anotācijā skaidrot, no kuriem normatīvajiem aktiem grāmatvedības jomā šāds dzīves cikla termiņš izriet.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un papildināta anotācijas 1.3. apakšsadaļa.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pēcuzraudzību sadarbības iestāde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pantam veic piecus gadus, nodrošinot darbību ilglaicīgumu.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dzīves cikla garums – 30 gadi – izvēlēts atbilstoši ES Reģionālās politikas un pilsētpolitikas ģenerāldirektorāta ES fondu 2014.-2020. gada plānošanas periodā izstrādātajam “Guide to Cost-Benefit Analysis of Investment Projects. Economic appraisal tool for Cohesion Policy 2014-2020”. Šis termiņš projekta iesniedzējam jāņem vērā, izstrādājot projekta izmaksu un ieguvumu analīzi, kā arī nodrošinot īpašumtiesības. Uzsveram, ka, ievērojot, ka atbalsts finansējuma saņēmējam tiek piešķirts kā kompensācija par vispārējas tautsaimnieciskas nozīmes pakalpojumu sniegšanu, 30 gadu dzīves cikls noteikts, lai novērstu pārkompensācijas riskus.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Sabiedrisko pakalpojumu regulēšanas komisijas 2022. gada 29. augusta lēmuma Nr. 1/12 "Kapitāla izmaksu uzskaites un aprēķināšanas metodika" 5. pielikumā ietverta ūdenssaimniecības pakalpojumu sniegšanai nepieciešamo aktīvu klasifikācija un minimālie lietderīgās lietošanas laiki, tostarp šādi lietderīgās lietošanas laiki: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notekūdeņu dūņu uzglabāšanas risinājumiem 20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plastmasas un citu materiālu kanalizācijas cauruļvadiem 30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siltumapgādei (gāzes apgādei) 40 gadi.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šāds projekta dzīves cikls noteikts Ministru kabineta noteikumos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dzīves cikls ir 30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dzīves cikls ir 30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19.punktā un 21.3. apakšpunktā noteikto  projekta dzīves cikla termiņu un infrastruktūras īpašumtiesību saglabāšanas termiņu, t.i., 30 gadi, atkārtoti lūdzam anotācijas ietvaros skaidrot par minētā regulējuma uzraudzību, un no kādiem līdzekļiem tā tiks segta, ņemot vērā Eiropas Savienības fondu tehniskās palīdzības un valsts budžeta ierobežoto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Pēc projekta īstenošanas finansējums infrastruktūras uzturēšanai finansējuma saņēmējam būs jāsedz no saviem līdzekļiem, respektīvi, privātā finansējuma un privātā finansējuma, kas piešķirts kā komercdarbības atbalsts, kas norādīts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dzīves cikla periods lietojams izmaksu un ieguvumu analīzes veikšanā, savukārt projekta uzraudzība un pēcuzraudzība īstenojama atbilstoši noslēgtajam līgumam par projekta īstenošanu. Informācija par projekta pēcuzraudzības veikšanu norādīta anotācijas 1.3. sadaļā. Kā norādīts iepriekšminētajā anotācijas sadaļā, projekta pēcuzraudzību sadarbības iestāde veic piecus gadus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pantam), un tālāka īpašumtiesību uzturēšana un darbību ilglaicīguma nodrošināšana ir finansējuma saņēmēja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darbības finansējuma saņēmējs plāno veikt tam īpašumā esošajā nekustamajā īpašumā, tas ir, BAS “Daugavgrīva”.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dzīves cikls ir 30 gadi.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projektā paredz darbības, kas veicina horizontālā principa "Vienlīdzība, iekļaušana, nediskriminācija un pamattiesību ievērošana"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21.5. apakšpunktu, jo 21.punkts neattiecas uz horizontālo principu "Vienlīdzība, iekļaušana, nediskriminācija un pamattiesību ievērošana", kā arī dublē 23.4.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punkts, norādot, ka projekta iesniedzējam jāievēro HP VINPI un jāparedz vismaz vienas šī horizontālā principa darbības īstenošana. 23.4. apakšpunkts saglabāts sākotnējā redakcijā, ņemot vērā, ka jāparedz HP VINPI izpildi kā atbalstāmo darbību, līdz ar to nosakot, ka attiecināmas HP VINPI darbību veikšanai nepieciešamās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notekūdeņu dūņu apstrādes iekārtu izveide, pārbūve vai atjaunošana, pamatojot siltumnīcefekta gāzu emisiju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noteikumu projekta būtu skaidrs, kādas atbalstāmās darbības projektā ir plānotas attiecībā uz dūņu apstrādi un pārstrādi, ņemot vērā noteikumu projekta 24.3. un 26.4. apakšpunktos noteikto, lūdzam anotācijā atbilstoši to skaidrot, tādējādi nodrošinot pārliecību, ka atbalsts netiks sniegts darbībām, kuras veic saimnieciskās darbības veicēji un kuras jāiepērk normālos tirgus apstākļos. Skaidrojam, ka atbilstoši Eiropas Komisijas izdotajiem tiesību aktiem nav pamatoti noteikt īpašu vispārējas tautsaimnieciskas nozīmes pakalpojumu sniegšanas pienākumu darbībai, ko sniedz uzņēmumi, kas darbojas normālos tirgus apstākļos. Līdz ar to Komisijas 2011.gada 20.decembra lēmumu par Līguma par Eiropas Savienības darbību 106. panta 2. punkta piemērošanu valsts atbalstam attiecībā uz kompensāciju par sabiedriskajiem pakalpojumiem dažiem uzņēmumiem, kuriem uzticēts sniegt pakalpojumus ar vispārēju tautsaimniecisku nozīmi vispārējas tautsaimnieciskas nozīmes pakalpojumu sniegšanai var piemērot tikai tādā gadījumā, ja attiecīgajā jomā pastāv tirgus nepilnība.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vai noteikumu projekta 23.2. apakšpunktā plānotās darbības (notekūdeņu dūņu apstrādes iekārtu izveide, pārbūve vai atjaunošana, pamatojot siltumnīcefekta gāzu emisiju samazinājumu) ietilpst pilnvarojuma līguma par sabiedrisko ūdenssaimniecības pakalpojumu sniegšanu tvērumā un vai notekūdeņu dūņu apstrādes iekārtas ir nepieciešamas, lai veiktu pilnvarojuma līgumā par sabiedrisko ūdenssaimniecības pakalpojumu sniegšanu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un papildināta anotācija. Šo Noteikumu projektā nav paredzēts atbalstīt investīcijas dūņu pārstrādes infrastruktūrā, par ko ir arī iekļauts nosacījums noteikumu projekta 25.3. apakšpunktā, ņemot vērā, ka atbalsts notekūdeņu dūņu pārstrādei tās paredzētas Programmas 2.2.2. specifiskā atbalsta mērķa 2.2.2.3. pasākuma “Notekūdeņu dūņu pārstrāde”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apakšpunktā minētās atbalstāmās darbības notekūdeņu dūņu apstrādes infrastruktūrā ietver sabiedriskā ūdenssaimniecības pakalpojuma nodrošināšanai būtisku iekārtu izveidi, pārbūvi vai atjaunošanu, tādējādi pastāvīgi nodrošinot tiesību aktiem atbilstošu notekūdeņu attīrīšanu. Investīcijas notekūdeņu dūņu apstrādes infrastruktūrā ir vitāli nepieciešamas, ņemot vērā, ka bioloģiskās attīrīšanas stacijā "Daugavgrīva" apstrādā lielāko notekūdeņu apjomu Latvijas Republikā, notekūdeņiem ienākot ne tikai no Rīgas valstspilsētas administratīvās teritorijas, bet arī no Pierīgas novadiem, tostarp Mārupes, Ķekavas novada, Jūrmalas valstpilsētas pašvaldības. Notekūdeņu dūņas rodas notekūdeņu attīrīšanas procesā, kurā notiek arī to apstrāde, līdz ar to netiek paplašināts esošā sabiedriskā pakalpojuma tiesiskā regulējuma tvērums. Jēdziena "sabiedriskie ūdenssaimniecības pakalpojumi" tvērums ir noteikts arī Ūdenssaimniecības pakalpojuma likuma 1. panta 9. punktā, kur ietvertas darbības “… notekūdeņu attīrīšanā, attīrīšanas procesā radušos notekūdeņu dūņu apstrādē …”. Šinī Noteikumu projektā paredzēts atbalstīt  notekūdeņu dūņu apstrādes darbības, kas Ūdenssaimniecības pakalpojumu likuma 1. panta 7</w:t>
            </w:r>
            <w:r w:rsidR="00000000" w:rsidRPr="00000000" w:rsidDel="00000000">
              <w:rPr>
                <w:vertAlign w:val="superscript"/>
                <w:rtl w:val="0"/>
              </w:rPr>
              <w:t xml:space="preserve">4</w:t>
            </w:r>
            <w:r w:rsidR="00000000" w:rsidRPr="00000000" w:rsidDel="00000000">
              <w:rPr>
                <w:rtl w:val="0"/>
              </w:rPr>
              <w:t xml:space="preserve">. punkta izpratnē saprotama kā darbības ar notekūdeņu dūņām (atūdeņošana vai mehāniska iebiezināšana). Notekūdeņu dūņu apstrādes darbības neietver notekūdeņu dūņu pārstrādi, kuras definīcija noteikta 1. panta 7</w:t>
            </w:r>
            <w:r w:rsidR="00000000" w:rsidRPr="00000000" w:rsidDel="00000000">
              <w:rPr>
                <w:vertAlign w:val="superscript"/>
                <w:rtl w:val="0"/>
              </w:rPr>
              <w:t xml:space="preserve">5</w:t>
            </w:r>
            <w:r w:rsidR="00000000" w:rsidRPr="00000000" w:rsidDel="00000000">
              <w:rPr>
                <w:rtl w:val="0"/>
              </w:rPr>
              <w:t xml:space="preserve">. punktā - notekūdeņu pārstrādes rezultātā tiek veiktas darbības, kas izmaina dūņu struktūru, un pārstrādes darbības paredzēts atbalstīt 2.2.2.3. pasākuma "Notekūdeņu dūņu pārstrāde" ietvaros. Norādām, ka ūdenssaimniecības sabiedrisko pakalppojuma līguma – pilnvarojuma aktā sabiedrisko pakalpojumu sniedzējam ir paredzēts pienākums cita starpā veikt arī notekūdeņu attīrīšanu.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notekūdeņu dūņu apstrādes iekārtu izveide, pārbūve vai atjaunošana, pamatojot siltumnīcefekta gāzu emisiju samazinājumu;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novērš interešu konflikta risku saskaņā ar Eiropas Parlamenta un Padomes Regulas (ES, Euratom) 2024/2509 (2024. gada 23. septembris) par finanšu noteikumiem, ko piemēro Savienības vispārējam budžetam 61. panta prasībām un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atsauce uz Eiropas Parlamenta un Padomes 2024. gada 23. septembra Regulu (ES, Euratom) 2024/2509 par finanšu noteikumiem, ko piemēro Savienības vispārējam budžetam (pārstrādāta redakcija), ir noformēta neatbilstoši Ministru kabineta 2009. gada 3. februāra noteikumu Nr. 108 “Normatīvo aktu projektu sagatavošanas noteikumi” 171.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korekti norādot izdevējinstitūciju, pieņemšanas datumu, regulas numuru un pilnu nosaukumu atbilstoši normatīvo aktu projektu sagatavošanas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 interešu konflikta risku saskaņā ar Eiropas Parlamenta un Padomes 2024. gada 23. septembra regulas (ES, Euratom) 2024/2509 par finanšu noteikumiem, ko piemēro Savienības vispārējam budžetam 61. panta prasībām un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novērš interešu konflikta risku saskaņā ar Eiropas Parlamenta un Padomes 2024. gada 23. septembra Regulas (ES, Euratom) 2024/2509 par finanšu noteikumiem, ko piemēro Savienības vispārējam budžetam 61. panta prasībām un paraksta interešu konflikta neesības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no saviem līdzekļiem sedz projekta īstenošanas gaitā radušos sadārdzinājumu un citas papildu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 ietvaros skaidrot,  kā interpretējamas noteikumu projekta 32.4. apakšpunktā noteiktās "citas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Liela mēroga investīciju projektos, kur īstenojamas izbūves, pārbūves, atjaunošanas (modernizācijas) tehniskas un tehnoloģiskas darbības, nav paredzama ikviena situācija, ko iespējams norādīt projekta iesniegumā kā Noteikumu projekta 27.7. un 27.8. apakšpunktā noteiktās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ja finansējuma saņēmējs projekta īstenošanas gaitā jau sedzis sadārdzinājumu vai citas radušās izmaksas atbilstoši šo apakšpunktu nosacījumiem, nav iespējama citu pēkšņi radušos izmaksu segšana no šīm attiecināmo izmaksu pozīcijām.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33.4. apakšpunkta sākotnējā redakcijā jau paredzēts, ka finansējuma saņēmējs šādas izmaksas var segt no saviem līdzekļiem, kas otrajā Noteikumu projekta redakcijā papildināts ar nosacījumu finansējuma saņēmējam tādā gadījumā ievērot un piemērot attiecināmās komercdarbības atbalsta regulējuma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no saviem līdzekļiem sedz projekta īstenošanas gaitā radušos sadārdzinājumu un citas papildu izmaksas, nodrošinot piemērojamo komercdarbības atbalsta regulējuma normu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no saviem līdzekļiem sedz projekta īstenošanas gaitā radušos sadārdzinājumu un citas papildu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32.4. apakšpunktu tā, lai uz projekta īstenošanas gaitā radušās sadārdzinājuma izmaksām, ko finansējuma saņēmējs sedz no saviem līdzekļiem, nodrošinātu piemērojamā komercdarbības atbalsta regulējuma normu ievērošanu. Skaidrojam, ka, ja atbalsts tiek piešķirts kā komercdarbības atbalsts, piemērojot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tad gadījumā, ja sadārdzinājums tiek segts no līdzekļiem, kas ir publiskie līdzekļi, arī uz sadārdzinājumu jāattiecina piemērojamā komercdarbības atbalsta regulējuma nosacījumi. Savukārt, ja "savi līdzekļi" ir ieņēmumi no saimnieciskās darbības vai citi privātie resursi, tad komercdarbības atbalsta regulējums jāpiemēro nebūtu. Ņemot vērā to, ka no noteikumu projekta nav skaidrs, ko ietver jēdziens "savi līdzekļi", aicinām papildināt punktu ar tekstu: "nodrošinot piemērojamo komercdarbības atbalsta regulējuma normu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33.4.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no saviem līdzekļiem sedz projekta īstenošanas gaitā radušos sadārdzinājumu un citas papildu izmaksas, nodrošinot piemērojamo komercdarbības atbalsta regulējuma normu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nodrošina ieguldīto investīciju ilgtspēju un uzturēšanu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32.10. apakšpunktu apvienot ar noteikumu projekta 32.9.apakšpunktu, vai arī, ja minēto punktu ir nepieciešams saglabāt, tad skaidrai izpratnei lūdzam noteikumu projekta 32.10. apakšpunktā norādīt investīciju ilgtspējas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33.9. un 33.10. apakšpunkts ir apvienoti. Skatīt precizēto noteikumu projekta 33.9.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pārkompensācijas kontroli - kā atbalsta sniedzējs pārbaudīs noteikumu projekta 16. punktā noteikto pienākumu finansējuma saņēmējam iesniegt pilnvarojuma uzlicēja apliecinājumu, kam jābūt norādītam pilnvarojuma aktā un kā praksē jānodrošina pārkompensācijas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piedāvātās redakcijas piemēru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Pārkompensācijas uzraudzību veic pilnvarojuma uzlicējs un, lai pilnvarojuma uzlicējs varētu kvalitatīvi novērst pārkompensācijas riskus un izpildīt pienākumu par pārkompensācijas uzraudzību, pilnvarojuma aktā ir iekļauts nosacījums, ka pilnvarojuma uzlicējs veic regulāras pārbaudes vai nodrošina, ka tās tiek veiktas, vismaz ik pēc trīs gadiem sabiedrisko pakalpojumu līguma darbības laikā un tā beigās, pamatojoties uz normatīvajiem aktiem, kas nosaka atlīdzības maksājumu/kompensāciju aprēķināšanas un piešķiršanas kārtību, kritērijus un nosacījumus, kā arī pārkompensācijas kontroles kārtību. Minētais pārkompensācijas uzraudzības mehānisms tiek izvērtēts projekta iesnieguma vērtēšanas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demarkāciju un/vai sinerģijas iespējām ar INTEREG un LIFE programmām, ka arī ar citiem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un papildināta anotācijas 1.3. apakšsadaļa. Saskatāma demarkācija ar Programmas 2.2.2. specifiskā atbalsta mērķa 2.2.2.3. pasākumu “Notekūdeņu dūņu pārstrāde”, ņemot vērā to, ka 2.2.2.3. pasākumā tiks atbalstītas notekūdeņu dūņu pārstrādes iekārtu izveides vai atjaunošanas darbības, bet 2.2.1.1. pasākuma atlases kārtā atbalsts paredzēts notekūdeņu dūņu apstrādes iekārtām.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ar 2.1.1. specifiskā atbalsta mērķa 2.1.1.6. pasākuma otro kārtu tiks nodrošināta, ņemot vērā, ka 2.1.1.6. pasākumā atbalstītas darbības, kas vērstas uz ūdenssaimniecības pakalpojumā iesaistīto iekārtu energoefektivitātes paaugstināšanu, atbalstīta atjaunīgos energoresursus izmantojošu iekārtu uzstādīšana, savukārt 2.2.1.1. pasākuma ietvaros darbības vērstas uz notekūdeņu attīrīšanas iekārtu darbības uzlabošanu un notekūdeņu dūņu apstrādes infrastruktūras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2.2.1.1. pasākuma otrās kārtas ietvaros nav paredzēts atbalstīt tādas darbības kā pētniecības un attīstības, inovāciju darbības, kas atbalstāmas Eiropas Strukturālo un investīciju fondu mērķa "Eiropas teritoriālā sadarbība" (INTERREG)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netiek saskatīta iespēja šo Noteikumu projektā paredzētās investīcijas nodrošināt LIFE programmas ietvaros, ņemot vērā, ka Eiropas Parlamenta un Padomes 2021. gada 29. aprīļa Regulas (ES) 2021/783, ar ko izveido vides un klimata pasākumu programmu (LIFE) un atceļ Regulu (ES) Nr. 1293/2013 II pielikumā norādīts, ka projektu ietvaros sasniedzami šādi iznākuma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demonstrētas un popularizētas inovatīvas pieejas;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piemērota paraugprakse dabas un bioloģiskās daudzveidības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veltītas attiecināmo ES tiesību aktu un rīcībpolitiku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uzlabota pārvaldība, tostarp pilsoniskās sabiedrības iesaiste;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īstenoti stratēģiski integrētie projekti un dabas projekti.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precizējumus 8.2.apakšsadaļā atbilstoši HP vadlīnijās [1] noteiktajam, proti, paredzot ka finansējuma saņēmējs īsteno </w:t>
            </w:r>
            <w:r w:rsidR="00000000" w:rsidRPr="00000000" w:rsidDel="00000000">
              <w:rPr>
                <w:b w:val="1"/>
                <w:rtl w:val="0"/>
              </w:rPr>
              <w:t xml:space="preserve">vismaz vienu</w:t>
            </w:r>
            <w:r w:rsidR="00000000" w:rsidRPr="00000000" w:rsidDel="00000000">
              <w:rPr>
                <w:rtl w:val="0"/>
              </w:rPr>
              <w:t xml:space="preserve"> horizontālā principa “Vienlīdzība, iekļaušana, nediskriminācija un pamattiesību ievērošana” vispārīgo darbību, kas ir minimālais nosacījums projektiem, kuriem nav ietekmes uz šo horizontālo principu.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8.2. 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otrajā rindkopā atsauci uz VARAM vadlīnijām un tīmekļvietnes saiti,  kas ir norādīta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tīmeklī ir piekļūstama cilvēkiem ar funkcionāliem traucējumiem, izmantojot vairākus sensoros (redze, dzirde, tauste) kanālus (skatīt VARAM vadlīnijas </w:t>
            </w:r>
            <w:r w:rsidR="00000000" w:rsidRPr="00000000" w:rsidDel="00000000">
              <w:rPr>
                <w:i w:val="1"/>
                <w:rtl w:val="0"/>
              </w:rPr>
              <w:t xml:space="preserve">Tīmekļvietņu un mobilo lietotņu piekļūstamība ” (pieejams: https://www.varam.gov.lv/lv/wwwvaramgovlv/lv/pieklustamiba)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8.2. 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25-TA-496</w:t>
    </w:r>
    <w:r>
      <w:br/>
    </w:r>
    <w:r w:rsidR="00000000" w:rsidRPr="00000000" w:rsidDel="00000000">
      <w:rPr>
        <w:rtl w:val="0"/>
      </w:rPr>
      <w:t xml:space="preserve">30.05.2025. 13.27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25-TA-496</w:t>
    </w:r>
    <w:r>
      <w:br/>
    </w:r>
    <w:r w:rsidR="00000000" w:rsidRPr="00000000" w:rsidDel="00000000">
      <w:rPr>
        <w:rtl w:val="0"/>
      </w:rPr>
      <w:t xml:space="preserve">30.05.2025. 13.27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Izziņa_25-TA-496.docx</dc:title>
</cp:coreProperties>
</file>

<file path=docProps/custom.xml><?xml version="1.0" encoding="utf-8"?>
<Properties xmlns="http://schemas.openxmlformats.org/officeDocument/2006/custom-properties" xmlns:vt="http://schemas.openxmlformats.org/officeDocument/2006/docPropsVTypes"/>
</file>