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25-TA-2883: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22. augusta noteikumos Nr. 473 "Eiropas Savienības kohēzijas politikas programmas 2021.–2027. gadam 1.2. prioritārā virziena "Atbalsts uzņēmējdarbībai" 1.2.3. specifiskā atbalsta mērķa "Veicināt ilgtspējīgu izaugsmi, konkurētspēju un darba vietu radīšanu MVU, tostarp ar produktīvām investīcijām" 1.2.3.6. pasākuma "Tūrisma produktu attīstības programma"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(19.09.2025.)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18.02.2026. 18:10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informāciju vai izstrādātie grozījumi nav uzskatāmi par būtiskiem, tas ir tādi, kas ietekmē darbības veidu, mērķus vai īstenošanas nosacījumus, tādējādi traucējot tās sākotnējo mērķu sasniegšanu. Vienlaikus lūdzam anotācijā skaidrot kā par ierosinātajiem grozījumiem tiks informēti finansējuma saņēmēji, tāpat arī papildinot ar informāciju vai civiltiesiskajos līgumos vai vienošanās par projekta īstenošanu būs nepieciešams veikt grozījumus pirmās un otrās projektu iesniegumu atlases kārtas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ietvertie grozījumi nav uzskatāmi par būtiskiem, jo tie neietekmē projektos sasniedzamos mērķus vai īstenošanas nosacījumus. Otrās projektu iesniegumu atlases kārtas ietvaros noslēgtajos līgumos grozījumus veikt nebūs nepieciešams. Par Noteikumu projektu un tajā ietverto grozījumu piemērošanas kārtību finansējuma saņēmējus informēs LIAA, nodrošinot nepieciešamo skaidrojumu pieejamību un savlaicīgu informācijas apmaiņu.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projektu iesniegumu atlases kārtas ietvaros tiks veikti grozījumi civiltiesiskajos līgumos, lai aizstātu sākotnēji plānoto noslēguma konferenci ar gala saņēmējiem lietderīgāku aktivitāti – atzinumu sagatavošanu par produktiem –, un veiktu atbilstošu budžeta pārdali jaunajām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darījumu tūrisms – tūrisma veids, kur galvenais nolūks ir doties komandējumā, kā arī apmeklēt, piedalīties vai organizēt profesionālus, darījumu vai motivācijas celšanas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nekorektas interpretācijas iespējas, aicinām EM pārskatīt un pilnveidot darījumu tūrisma definīciju, paskaidrojot mērķi galvenajam nolūkam doties komandējumā. Pati braukšana komandējumā kā mērķis vēl nenozīmē darījumu tūrismu.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paskaidrot, kā motivācijas celšanas pasākumi ir saistīti/saistāmi ar darījuma tūrismu.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darījumu tūrisms – tūrisma veids, kur galvenais nolūks ir doties komandējumā </w:t>
            </w:r>
            <w:r w:rsidR="00000000" w:rsidRPr="00000000" w:rsidDel="00000000">
              <w:rPr>
                <w:u w:val="single"/>
                <w:rtl w:val="0"/>
              </w:rPr>
              <w:t xml:space="preserve">ar mērķi </w:t>
            </w:r>
            <w:r w:rsidR="00000000" w:rsidRPr="00000000" w:rsidDel="00000000">
              <w:rPr>
                <w:rtl w:val="0"/>
              </w:rPr>
              <w:t xml:space="preserve">apmeklēt, piedalīties vai organizēt profesionālus, darījumu vai motivācijas celšanas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Ministru kabineta 2010. gada 12. oktobra noteikumu Nr. 969 "Kārtība, kādā atlīdzināmi ar komandējumiem saistītie izdevumi" 2. punktu, komandējumā tiek norīkota persona, lai pildītu darba vai dienesta uzdevumus, vai lai papildinātu zināšanas un paaugstinātu kvalifikāciju. Vienlaikus vēršam uzmanību, ka MK noteikumu projektā iekļautā definīcija ir apstiprināta MK (likumprojekts "Grozījumi Tūrisma likumā (Ministru kabineta 14.10.2025. sēdes protokols Nr. 43))".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Darījumu tūrisma nolūks ir sniegt pakalpojumu, kura laikā izmanto tūrisma pakalpojumus mērķa valstī profesionālas darbības ietvaros - attiecīgi motivācijas brauciens ir profesionāla darbība.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darījumu tūrisms – tūrisma veids, kur galvenais nolūks ir doties komandējumā, kā arī apmeklēt, piedalīties vai organizēt profesionālus, darījumu vai motivācijas celšanas pasākumus;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 vizīšu organizēšanas izmaksas (transporta, naktsmītnes, ēdināšanas izmaksas, tūrisma objektu ieejas maksas, tūrisma aktivitāšu, meistarklašu u.c. ar vizītes organizēšanu saistītas izmaksas, tai skaitā divu finansējuma saņēmēja pārstāvju dalības izmaksas vizītē);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iekšzemes komandējumiem un transporta pakalpojumu izmaksām, lūdzam, izvērtēt nepieciešamību piemērot vadošās iestādes izstrādātās horizontālās metodikas: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1.Vienas vienības izmaksu standarta likmes aprēķina un piemērošanas metodika 1 km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2.Vienas vienības izmaksu standarta likmes aprēķina un piemērošanas metodika iekšzemes komandējumu izmaksām darbības programmas “Izaugsme un nodarbinātība” un Eiropas Savienības kohēzijas politikas programmas 2021.–2027.gadam īstenošanai. Lūdzam minēto arī izvērtēt pie Ministru kabineta 2023. gada 22. augusta noteikumu Nr. 473 "Eiropas Savienības kohēzijas politikas programmas 2021.–2027. gadam 1.2. prioritārā virziena "Atbalsts uzņēmējdarbībai" 1.2.3. specifiskā atbalsta mērķa "Veicināt ilgtspējīgu izaugsmi, konkurētspēju un darba vietu radīšanu MVU, tostarp ar produktīvām investīcijām" 1.2.3.6. pasākuma "Tūrisma produktu attīstības programma" īstenošanas noteikumi" 34.14.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jaunu 39. prim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 vizīšu organizēšanas izmaksas (transporta, naktsmītnes, ēdināšanas izmaksas, tūrisma objektu ieejas maksas, tūrisma aktivitāšu, meistarklašu u.c. ar vizītes organizēšanu saistītas izmaksas, tai skaitā divu finansējuma saņēmēja pārstāvju dalības izmaksas vizītē);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34.10. stenda apdrošināšanas izmaksas transportēšanas un ekspozīcijas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vadošās iestādes vadlīnijām Nr.1.2. ''Vadlīnijas attiecināmo izmaksu noteikšanai Eiropas Savienības kohēzijas politikas programmas 2021.-2027.gada plānošanas periodā" apdrošināšanas izmaksas ir </w:t>
            </w:r>
            <w:r w:rsidR="00000000" w:rsidRPr="00000000" w:rsidDel="00000000">
              <w:rPr>
                <w:u w:val="single"/>
                <w:rtl w:val="0"/>
              </w:rPr>
              <w:t xml:space="preserve">projekta netiešās izmaksas.</w:t>
            </w:r>
            <w:r w:rsidR="00000000" w:rsidRPr="00000000" w:rsidDel="00000000">
              <w:rPr>
                <w:rtl w:val="0"/>
              </w:rPr>
              <w:t xml:space="preserve"> Lūdzam šīs izmaksas plānot zem netiešajām izmaksām, kas Ministru kabineta noteikumos par specifisko atbalsta mērķi tiek plānotas 7%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34.14. komandējuma izmaksas finansējuma saņēmēja pārstāvjiem, kas piedalās izstāžu, semināru, konferenču, preses konferenču, kontaktbiržu, sagatavošanā un to norisē, tai skaitā transporta, viesnīcas (naktsmītnes) un dienas naudas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ar punktu, kurā tiek noteikts, ka noteikumu 34.14.apakšpunktā noteiktajām iekšzemes komandējumu izmaksām finansējuma saņēmējs piemēro vadošās iestādes izstrādātās metodikas "Vienas vienības izmaksu standarta likmes aprēķina un piemērošanas metodika 1 km izmaksām darbības programmas "Izaugsme un nodarbinātība" un Eiropas Savienības kohēzijas politikas programmas 2021.–2027. gadam īstenošanai" un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jaunu 39.prim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34.13. komandējuma izmaksas finansējuma saņēmēja pārstāvjiem, kas piedalās izstāžu, semināru, konferenču, preses konferenču, kontaktbiržu, sagatavošanā un to norisē, tai skaitā transporta, viesnīcas (naktsmītnes) un dienas naudas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Šo noteikumu </w:t>
            </w:r>
            <w:r w:rsidR="00000000" w:rsidRPr="00000000" w:rsidDel="00000000">
              <w:rPr>
                <w:shd w:fill="#e0ffff" w:val="clear"/>
                <w:rtl w:val="0"/>
              </w:rPr>
              <w:t xml:space="preserve">42.7.</w:t>
            </w:r>
            <w:r w:rsidR="00000000" w:rsidRPr="00000000" w:rsidDel="00000000">
              <w:rPr>
                <w:rtl w:val="0"/>
              </w:rPr>
              <w:t xml:space="preserve"> apakšpunktā minētās izmaksas nav attiecināmas uz izstādēm, kurās aģentūra organizē Latvijas nacionālo stendu.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43. punktu, ņemot vērā, ka Latvijas Investīciju un attīstības aģentūra izraksta rēķinu sadarbības tīklam- maksu par ekspozīcijas vietu Latvijas stendā izstādē, t.sk. par stenda laukuma īri, darba vietu stendā, dalībnieka reģistrāciju.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Šo noteikumu </w:t>
            </w:r>
            <w:r w:rsidR="00000000" w:rsidRPr="00000000" w:rsidDel="00000000">
              <w:rPr>
                <w:shd w:fill="#e0ffff" w:val="clear"/>
                <w:rtl w:val="0"/>
              </w:rPr>
              <w:t xml:space="preserve">42.7.</w:t>
            </w:r>
            <w:r w:rsidR="00000000" w:rsidRPr="00000000" w:rsidDel="00000000">
              <w:rPr>
                <w:rtl w:val="0"/>
              </w:rPr>
              <w:t xml:space="preserve"> apakšpunktā minētās izmaksas nav attiecināmas uz izstādēm, kurās aģentūra organizē Latvijas nacionālo stendu.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Finansējuma saņēmējs pasākuma īstenošanā attiecībā uz šo noteikumu 33. un 40. punktā minētajām attiecināmajām izmaksām piemēro vadošās un atbildīgās iestādes sagatavotās 2021.–2027. gada plānošanas perioda vienkāršoto izmaksu metodikas, tiklīdz minētās metodikas stājas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69.punktu, ņemot vērā, ka netika izstrādātas vienkāršoto izmaksu metodikas noteikumu 33. un 40.punktā minētajām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Finansējuma saņēmējs pasākuma īstenošanā attiecībā uz šo noteikumu 33. un 40. punktā minētajām attiecināmajām izmaksām piemēro vadošās un atbildīgās iestādes sagatavotās 2021.–2027. gada plānošanas perioda vienkāršoto izmaksu metodikas, tiklīdz minētās metodikas stājas spēkā.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 projekta iesniedzējs un sadarbības tīkla dalībnieks atbilst Eiropas Savienības struktūrfondu un Kohēzijas fonda 2021.–2027. gada plānošanas perioda vadības likuma 22. pantā noteiktajiem izslēgšanas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administratīvo slogu sadarbības tīklam, lūdzam izskatīt un iekļaut noteikumos punktu, ka sadarbības tīkls pieprasa apliecinājumu no sadarbības tīkla dalībnieka, ka uz to nav attiecināmi Eiropas Savienības fondu 2021.–2027. gada plānošanas perioda vadības likuma 22. pantā noteiktie izslēgšanas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Iekšlietu ministrijas Informācijas centrs ir skaidrojis, ka finansējuma saņēmējam (sadarbības tīkls – biedrība vai nodibinājums) nav tiesību pieprasīt un saņemt ziņas no “Sodu reģistra” un  sadarbības līguma slēgšana starp Informācijas centru un biedrību vai nodibinājumu uz doto brīdi nav juridiski pamatota un tā ir atsakāma, jo noteikumu nevienā punktā nav skaidri definētas tiesības vai pienākums  finansējuma saņēmējam pieprasīt un saņemt ziņas no Informācijas centra pārziņā esošā “Sodu reģistra”. Lūdzam arī noteikumu anotācijā veikt precizējumus un sniegt aprakstu kā sadarbības tīkls veic izslēgšanas nosacījumu pārbaudi.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jaunu punktu un 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 projekta iesniedzējs un sadarbības tīkla dalībnieks atbilst Eiropas Savienības struktūrfondu un Kohēzijas fonda 2021.–2027. gada plānošanas perioda vadības likuma 22. pantā noteiktajiem izslēgšanas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Pasākuma ietvaros informācijas pieejamību atbilstoši regulas Nr. </w:t>
            </w:r>
            <w:r w:rsidR="00000000" w:rsidRPr="00000000" w:rsidDel="00000000">
              <w:rPr>
                <w:rtl w:val="0"/>
              </w:rPr>
              <w:t xml:space="preserve">2023/2831</w:t>
            </w:r>
            <w:r w:rsidR="00000000" w:rsidRPr="00000000" w:rsidDel="00000000">
              <w:rPr>
                <w:rtl w:val="0"/>
              </w:rPr>
              <w:t xml:space="preserve"> 6. pantam nodrošina šādos termiņos: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MK noteikumos nodrošinātu nepārprotamu atbilstību Komisijas regulas Nr. 2023/2831 6. pantā noteiktajai datu uzglabāšanas pienākuma prasībai, lūdzam precizēt MK noteikumu 92.1. un 92.2. apakšpunktus. Lūdzam skatīt piedāvāto redakciju piemērus zemāk.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92.1. sadarbības iestāde, aģentūra un sadarbības tīkls uzglabā visus ar </w:t>
            </w:r>
            <w:r w:rsidR="00000000" w:rsidRPr="00000000" w:rsidDel="00000000">
              <w:rPr>
                <w:i w:val="1"/>
                <w:rtl w:val="0"/>
              </w:rPr>
              <w:t xml:space="preserve">de minimis</w:t>
            </w:r>
            <w:r w:rsidR="00000000" w:rsidRPr="00000000" w:rsidDel="00000000">
              <w:rPr>
                <w:rtl w:val="0"/>
              </w:rPr>
              <w:t xml:space="preserve"> atbalsta piešķiršanu saistītos datus 10 gadus, sākot no dienas, kurā saskaņā ar šiem noteikumiem ir piešķirts pēdējais </w:t>
            </w:r>
            <w:r w:rsidR="00000000" w:rsidRPr="00000000" w:rsidDel="00000000">
              <w:rPr>
                <w:i w:val="1"/>
                <w:rtl w:val="0"/>
              </w:rPr>
              <w:t xml:space="preserve">de minimis</w:t>
            </w:r>
            <w:r w:rsidR="00000000" w:rsidRPr="00000000" w:rsidDel="00000000">
              <w:rPr>
                <w:rtl w:val="0"/>
              </w:rPr>
              <w:t xml:space="preserve">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 sadarbības tīkls un sadarbības tīkla dalībnieki pirmās un otrās kārtas ietvaros uzglabā visus ar </w:t>
            </w:r>
            <w:r w:rsidR="00000000" w:rsidRPr="00000000" w:rsidDel="00000000">
              <w:rPr>
                <w:i w:val="1"/>
                <w:rtl w:val="0"/>
              </w:rPr>
              <w:t xml:space="preserve">de minimis</w:t>
            </w:r>
            <w:r w:rsidR="00000000" w:rsidRPr="00000000" w:rsidDel="00000000">
              <w:rPr>
                <w:rtl w:val="0"/>
              </w:rPr>
              <w:t xml:space="preserve"> atbalsta piešķiršanu saistītos datus 10 gadus no </w:t>
            </w:r>
            <w:r w:rsidR="00000000" w:rsidRPr="00000000" w:rsidDel="00000000">
              <w:rPr>
                <w:i w:val="1"/>
                <w:rtl w:val="0"/>
              </w:rPr>
              <w:t xml:space="preserve">de minimis</w:t>
            </w:r>
            <w:r w:rsidR="00000000" w:rsidRPr="00000000" w:rsidDel="00000000">
              <w:rPr>
                <w:rtl w:val="0"/>
              </w:rPr>
              <w:t xml:space="preserve"> atbalsta piešķiršanas dienas.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Pasākuma ietvaros informācijas pieejamību atbilstoši regulas Nr. </w:t>
            </w:r>
            <w:r w:rsidR="00000000" w:rsidRPr="00000000" w:rsidDel="00000000">
              <w:rPr>
                <w:rtl w:val="0"/>
              </w:rPr>
              <w:t xml:space="preserve">2023/2831</w:t>
            </w:r>
            <w:r w:rsidR="00000000" w:rsidRPr="00000000" w:rsidDel="00000000">
              <w:rPr>
                <w:rtl w:val="0"/>
              </w:rPr>
              <w:t xml:space="preserve"> 6. pantam nodrošina šādos termiņos: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25-TA-2883</w:t>
    </w:r>
    <w:r>
      <w:br/>
    </w:r>
    <w:r w:rsidR="00000000" w:rsidRPr="00000000" w:rsidDel="00000000">
      <w:rPr>
        <w:rtl w:val="0"/>
      </w:rPr>
      <w:t xml:space="preserve">20.03.2026. 10.31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25-TA-2883</w:t>
    </w:r>
    <w:r>
      <w:br/>
    </w:r>
    <w:r w:rsidR="00000000" w:rsidRPr="00000000" w:rsidDel="00000000">
      <w:rPr>
        <w:rtl w:val="0"/>
      </w:rPr>
      <w:t xml:space="preserve">20.03.2026. 10.31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Izziņa_25-TA-2883.docx</dc:title>
</cp:coreProperties>
</file>

<file path=docProps/custom.xml><?xml version="1.0" encoding="utf-8"?>
<Properties xmlns="http://schemas.openxmlformats.org/officeDocument/2006/custom-properties" xmlns:vt="http://schemas.openxmlformats.org/officeDocument/2006/docPropsVTypes"/>
</file>