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21-TA-1334: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Aizsargjoslu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pantu, kas paredz veikt grozījumus Aizsargjoslu likuma 36.panta trešās daļas 1.punktā.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36.panta trešās daļas 1.punktu valsts vai pašvaldības īpašumā esošo zemi, izņemot atsevišķus likumos noteiktos gadījumus, ir aizliegts atsavināt. Līdz ar to publisku personu starpā zeme arī nav nododama bez atlīdzības īpašumā funkciju īstenošanai Publiskas personas mantas atsavināšanas likuma 42.panta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2018.gada 1.marta sanāksmē (prot. Nr.9 13.§) tika izsludināts Vides aizsardzības un reģionālās attīstības ministrijas sagatavotais likumprojekts “Grozījumi Aizsargjoslu likumā” (VSS-209, TA-2177, turpmāk – VARAM likumprojekts), ar kuru cita starpā tika paredzēts veikt grozījumus Aizsargjoslu likuma 36.pantā, lai paredzētu iespēju valsts īpašumā esošo zemi krasta kāpu aizsargjoslā atsavināt pašvaldībai vai pašvaldības īpašumā esošo zemi krasta kāpu aizsargjoslā atsavināt valstij.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sekretāru 2018.gada 8.novembra sanāksmes protokollēmumā (prot. Nr.44, 23.§) noteiktajam Vides aizsardzības un reģionālās attīstības ministrijai uzdots organizēt starpinstitūciju sanāksmi ar Ārlietu ministriju, Latvijas Pašvaldību savienību un citiem iebildumu sniedzējiem, lai izrunātu nesaskaņotos jautājumus, un saskaņoto likumprojektu iesniegt izskatīšanai Ministru kabineta sēdē, viedokļu nesaskaņošanas gadījumā – izskatīšanai Ministru kabineta komitejas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likumprojekta tālākā virzība netika turpināta, Finanšu ministrija lūdza Ekonomikas ministriju tās virzītajā likumprojektā “Grozījumi Aizsargjoslu likumā” (VSS- 1175)  papildināt ar grozījumiem Aizsargjoslu likuma 36.panta trešās daļas 1.punktā atbilstoši VARAM likumprojektā iekļautajai redakcijai. Ekonomikas ministrija iekļāva atbilstošus grozījumus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ievērojot Ekonomikas ministrijas virzītā likumprojekta apjomu saistībā ar citiem grozījumiem, likumprojekta virzība no šā gada februāra ir apstājusies un nav zināma tā turpmākā virzība.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VARAM likumprojekta saskaņošanas laikā, ne Ekonomikas ministrijas likumprojekta saskaņošanas laikā  par Aizsargjoslu likuma 36.panta trešās daļas 1.punkta grozījumiem  saskaņošanas dalībnieki neizteica iebildumus vai priekšlikumus, tie  nav nesaskaņoto jautājumu vidū.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36. panta trešās daļas 1. punktu šādā redakcijā: “1) atsavināt valsts vai pašvaldības īpašumā esošo zemi, izņemot gadījumus, kad valsts īpašumā esošo zemi krasta kāpu aizsargjoslā atsavina pašvaldībai vai pašvaldības īpašumā esošo zemi krasta kāpu aizsargjoslā atsavina valstij, un likumos noteiktos gadījumus, kad personai ir tiesības iegūt īpašumā zemi zem ēkas (būves), ievērojot nosacījumu, ka īpašuma tiesības uz ēku (būvi) attiecīgajai personai ir nostiprinātas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atbilstoši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TM, EM, VARAM un LPS sniegt viedokli par to, vai nav iebildumu par likumprojekta papildināšanu ar jaunu pantu šādā redakcijā (sk. FM iebildumā norādīto pamatojumu).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50.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Aizsargjoslās ap valsts aizsardzības vajadzībām paredzētajiem navigācijas tehniskajiem līdzekļiem un militārajiem jūras novērošanas tehniskajiem līdzekļiem papildus šā likuma 35. pantā minētajiem aprobežojumiem aizliegts celt ēkas un būves, kas traucē to darbību, izņemot ar Aizsardzības ministrijas saskaņojumu un pie nosacījuma, ka Aizsardzības ministrijai tiek atlīdzināti (kompensēti) izdevumi, kas nepieciešami, lai nodrošinātu netraucētu un pilnvērtīgu valsts aizsardzības vajadzībām paredzēto navigācijas tehnisko līdzekļu un militāro jūras novērošanas tehnisko līdzekļu darbību. Izdevumu apmēru nosaka un izdevumus atlīdzina pēc savstarpējas rakstveida vienošanās, nosakot kompensācijas veidu un kārtību. Aizsardzības ministrija, lai izvērtētu būvniecības iespējas aizsargjoslas teritorijā, ņem vērā valsts aizsardzības vajadzībām paredzētā navigācijas tehniskā līdzekļa vai militārās jūras novērošanas tehniskā līdzekļa kompensējošā mehānisma izveidošanas iespējas un pēc iespējas izvēlas ekonomiski izdevīgāko kompensējošā mehānisma risinājumu. Ministru kabinets nosaka ierobežojumus ēku un būvju celtniecībai aizsargjoslās ap valsts aizsardzības vajadzībām paredzētajiem navigācijas tehniskajiem līdzekļiem un militārajiem jūras novērošanas tehniskajiem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redakcijā lietoti jēdzieni ēka un būve. Vēršam uzmanību, ka jēdziens būve aptver gan ēkas, gan inženierbūves. Līdz ar to aicinām precizēt tiesību normu, izvēloties atbilstošos jēdzienus.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tiesību normas izriet vispārīgs būvniecības aizliegums, savukārt izņēmumi pieļaujami vienīgi ar Aizsardzības ministrijas atļauju, turklāt kompensējot izdevumus, kas nepieciešami, lai nodrošinātu netraucētu un pilnvērtīgu valsts aizsardzības vajadzībām paredzēto navigācijas tehnisko līdzekļu un militāro jūras novērošanas tehnisko līdzekļu darbību. Vēršam uzmanību, ka atbilstoši anotācijā ietvertajai informācijai minētās tiesību normas izstrādes pamatā ir nepieciešamība nodrošināt ilgtermiņa politisko mērķu sasniegšanu (piemēram, Nacionālā enerģētikas un klimata plāna 2021.-2030. gadam mērķu sasniegšanu), kas nepieciešami sauszemes un jūras vēja enerģijas attīstībai, paredzot konkrētus nosacījumus vēja parku izpētei, būvniecībai un ekspluatācijai. Projekta anotācijā īpaši uzsvērts, ka šī likumprojekta mērķis ir precizēt un noteikt skaidru regulējumu attiecībā uz būvniecību aizsargjoslās ap aizsardzības objektiem, kas īpaši ir svarīgi vēja parku attīstības jautājumā. Tomēr tiesību normā iekļautais regulējums pieļauj daudz plašāku būvju būvniecību. Ņemot vērā minēto, aicinām novērst minēto pretrunu.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terminu lietojums likumprojektā, nosakot, ka likumprojekta normas tiek attiecinātas uz būvēm (kas aptver gan ēkas, gan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norādam, ka, lai gan pamatā likumprojekta grozījumi ir paredzēti, lai noteiktu iespēju veidot savstarpēju vienošanos, kas pieļautu atjaunojamās enerģijas ražošanas projektu attīstību aizsargjoslu teritorijās, tomēr šīs normas ir veidotas plašākas ar nolūku, lai sniegtu iespēju izvērtēt būvniecības projektus aizsargjoslās kopumā, ja tam ir pietiekams un objektīvs pamatojums (noteiktas politiskās prioritātes, publiskais labums, u.tml.).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50.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Aizsargjoslās ap valsts aizsardzības vajadzībām paredzētajiem navigācijas tehniskajiem līdzekļiem un militārajiem jūras novērošanas tehniskajiem līdzekļiem būvju būvniecība, kas traucē to darbību, var tikt atļauta tikai ar Aizsardzības ministrijas saskaņojumu un pie nosacījuma, ka Aizsardzības ministrijai tiek atlīdzināti (kompensēti) izdevumi, kas nepieciešami, lai nodrošinātu netraucētu un pilnvērtīgu valsts aizsardzības vajadzībām paredzēto navigācijas tehnisko līdzekļu un militāro jūras novērošanas tehnisko līdzekļu darbību. Izdevumu apmēru nosaka un izdevumus atlīdzina pēc savstarpējas rakstveida vienošanās, nosakot kompensācijas veidu un kārtību. Izvērtējot kompensējošā mehānisma izveidošanas iespējas, izvēlas tehniski atbilstošāko un pēc iespējas ekonomiski izdevīgāko risinājumu.”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50.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Šā panta otrajā daļā minētā atļauja var tikt izsniegta pie nosacījuma, ka Aizsardzības ministrijai tiek atlīdzināti (kompensēti) izdevumi, kas nepieciešami, lai nodrošinātu netraucētu un pilnvērtīgu valsts aizsardzības vajadzībām paredzēto navigācijas tehnisko līdzekļu un militāro jūras novērošanas tehnisko līdzekļu darbību. Izdevumu apmēru nosaka un izdevumus atlīdzina pēc savstarpējas rakstveida vienošanās, nosakot kompensācijas veidu un kārtību. Izvērtējot kompensējošā mehānisma izveidošanas iespējas, izvēlas tehniski atbilstošāko un pēc iespējas ekonomiski izdevīgāko risinājumu.”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precizētais likumprojekts “Grozījumi Aizsargjoslu likumā” (turpmāk – projekts) un par to izsakām šādu iebildumu - Projekta 1. un 2. pantā paredzētos grozījumus par Aizsargjoslu likuma 50. panta papildināšanu ar trešo daļu un 58.</w:t>
            </w:r>
            <w:r w:rsidR="00000000" w:rsidRPr="00000000" w:rsidDel="00000000">
              <w:rPr>
                <w:vertAlign w:val="superscript"/>
                <w:rtl w:val="0"/>
              </w:rPr>
              <w:t xml:space="preserve">5</w:t>
            </w:r>
            <w:r w:rsidR="00000000" w:rsidRPr="00000000" w:rsidDel="00000000">
              <w:rPr>
                <w:rtl w:val="0"/>
              </w:rPr>
              <w:t xml:space="preserve"> panta papildināšanu ar 1.</w:t>
            </w:r>
            <w:r w:rsidR="00000000" w:rsidRPr="00000000" w:rsidDel="00000000">
              <w:rPr>
                <w:vertAlign w:val="superscript"/>
                <w:rtl w:val="0"/>
              </w:rPr>
              <w:t xml:space="preserve">1</w:t>
            </w:r>
            <w:r w:rsidR="00000000" w:rsidRPr="00000000" w:rsidDel="00000000">
              <w:rPr>
                <w:rtl w:val="0"/>
              </w:rPr>
              <w:t xml:space="preserve"> daļu piedāvājam papildus izvērtēt un precizēt. Vēršam uzmanību, ka projektā nav pieļaujama iekšējo atsauču “Šā panta otrajā daļā minētā atļauja … ” vai  “Šā panta pirmajā daļā minētā atļauja … ” veidošana, jo minētās normas neparedz tiesisko regulējumu par atļaujām, bet pilnvarojumu Ministru kabinetam par noteikumu izdošanu. Tas apstāklis, ka uz minētajās normās paredzēto pilnvarojumu pamata ir izdoti Ministru kabineta noteikumi, kuros ir noteikta darbību saskaņošana ar Aizsardzības ministriju vai valsts aizsardzības objekta valdītāju, nav interpretējama kā atļauja un attiecīgi arī Aizsardzības ministrijas tiesības saņemt kompensāciju par kaitējumu uz šāda neskaidra un neprecīza regulējuma pamata nav pieļaujama. Papildus norādām, ka Ministru kabineta 2009. gada 10. novembra noteikumos Nr.1312 “Noteikumi par darbību ierobežojumiem aizsargjoslās ap valsts aizsardzības objektiem” 2. punktā esošais regulējums (teltis, ugunskuri, piketi, gājieni, transportlīdzekļu novietošana) nekādi nenorāda par kaitējumu, kas radītu tiesības saņemt kompensāciju.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norādītajam, novēršot iekšējo atsauču veidošu un attiecīgās likumprojekta normās izvēršot detalizētāk, nosakot, ka minētais regulējums par izdevumu atlīdzināšanu ir attiecināmas tikai uz būvniecību aizsargjoslās ap valsts aizsardzības objektiem, kas varētu traucēt attiecīgā valsts aizsardzības objekta ekspluatāciju, nevis citām darbībām, kurām būtu nepieciešams saņemt valsts aizsardzības objekta saskaņojumu, bet kas nav saistītas ar objektu būvniecību.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50.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Aizsargjoslās ap valsts aizsardzības vajadzībām paredzētajiem navigācijas tehniskajiem līdzekļiem un militārajiem jūras novērošanas tehniskajiem līdzekļiem būvju būvniecība, kas traucē to darbību, var tikt atļauta tikai ar Aizsardzības ministrijas saskaņojumu un pie nosacījuma, ka Aizsardzības ministrijai tiek atlīdzināti (kompensēti) izdevumi, kas nepieciešami, lai nodrošinātu netraucētu un pilnvērtīgu valsts aizsardzības vajadzībām paredzēto navigācijas tehnisko līdzekļu un militāro jūras novērošanas tehnisko līdzekļu darbību. Izdevumu apmēru nosaka un izdevumus atlīdzina pēc savstarpējas rakstveida vienošanās, nosakot kompensācijas veidu un kārtību. Izvērtējot kompensējošā mehānisma izveidošanas iespējas, izvēlas tehniski atbilstošāko un pēc iespējas ekonomiski izdevīgāko risinājumu.”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58.</w:t>
            </w:r>
            <w:r w:rsidR="00000000" w:rsidRPr="00000000" w:rsidDel="00000000">
              <w:rPr>
                <w:vertAlign w:val="superscript"/>
                <w:rtl w:val="0"/>
              </w:rPr>
              <w:t xml:space="preserve">5 </w:t>
            </w:r>
            <w:r w:rsidR="00000000" w:rsidRPr="00000000" w:rsidDel="00000000">
              <w:rPr>
                <w:rtl w:val="0"/>
              </w:rPr>
              <w:t xml:space="preserve">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Aizsargjoslās ap valsts aizsardzības objektiem, kurās noteiktie ierobežojumi nepieļauj saimniecisko darbību, jebkāda veida būvniecību (tajā skaitā pagaidu būvju uzstādīšanu), teritorijas izmantošanas veida maiņa  teritorijas plānošanas dokumentos kā arī citas darbības atsevišķos gadījumos var tikt atļautas ar valsts aizsardzības objekta valdītāja saskaņojumu un pie nosacījuma, ka Aizsardzības ministrijai tiek atlīdzināti (kompensēti) izdevumi, kas nepieciešami, lai nodrošinātu netraucētu un pilnvērtīgu valsts aizsardzības objekta uzdevumu izpildi. Izdevumu apmēru nosaka un izdevumus atlīdzina pēc savstarpējas rakstveida vienošanās, nosakot kompensācijas veidu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likumprojekta 2. punktā vārdus “teritorijas izmantošanas veida maiņa  teritorijas plānošanas dokumentos”. Vēršam uzmanību, ka jau pašreiz Teritorijas attīstības plānošanas informācijas sistēma (turpmāk - TAPIS), kuras publiskā daļa pieejama https://geolatvija.lv/geo/tapis, dod iespēju pieteikties paziņojuma saņemšanai par pašvaldības lēmumiem arī ļoti konkrētās teritorijās, līdz ar to Aizsardzības ministrijai un citām iestādēm ir iespējas jau sākotnējā stadijā saņemt informāciju par to, kas tiek plānots viņus interesējošās teritorijās. Papildus tam lūdzam 2. punktā precizēt arī beidzamo teikumu, lai nerastos neskaidrības teikuma interpretēšanā un tas saskanētu ar likumprojektu “Grozījumi likumā “Par aviāciju”” (21-TA-1339) lietoto izteiksmes veidu kā nosaka kompensējamo izdevumu apmēru un atlīdzināšanas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Aizsargjoslās ap valsts aizsardzības objektiem, kurās noteiktie ierobežojumi nepieļauj saimniecisko darbību, jebkāda veida būvniecību (tajā skaitā pagaidu būvju uzstādīšanu), kā arī citas darbības atsevišķos gadījumos var tikt atļautas ar valsts aizsardzības objekta valdītāja saskaņojumu un pie nosacījuma, ka Aizsardzības ministrijai tiek atlīdzināti (kompensēti) izdevumi, kas nepieciešami, lai nodrošinātu netraucētu un pilnvērtīgu valsts aizsardzības objekta uzdevumu izpildi. Aizsardzības ministrija nosaka kompensācijas veidu un atlīdzināšanas kārtību atbilstoši rakstveida vienošanās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institūciju paustos iebildumus un priekšlikumus, likumprojekta redakcija precizēta, lai piedāvātās normas labāk saskanētu ar likumprojektu "Grozījumi likumā "Par aviāciju" un noteiktu skaidrāku lietoto izteiksmes veidu par to, kā nosaka kompensējamo izdevumu apmēru un atlīdzināšanas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58.</w:t>
            </w:r>
            <w:r w:rsidR="00000000" w:rsidRPr="00000000" w:rsidDel="00000000">
              <w:rPr>
                <w:vertAlign w:val="superscript"/>
                <w:rtl w:val="0"/>
              </w:rPr>
              <w:t xml:space="preserve">5</w:t>
            </w:r>
            <w:r w:rsidR="00000000" w:rsidRPr="00000000" w:rsidDel="00000000">
              <w:rPr>
                <w:rtl w:val="0"/>
              </w:rPr>
              <w:t xml:space="preserve"> pantu ar pirmo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Aizsargjoslās ap valsts aizsardzības objektiem būvniecība (tai skaitā pagaidu būvju uzstādīšana), kas varētu traucēt attiecīgā valsts aizsardzības objekta ekspluatāciju, var tikt atļauta tikai ar Aizsardzības ministrijas saskaņojumu un pie nosacījuma, ka Aizsardzības ministrijai tiek atlīdzināti (kompensēti) izdevumi, kas nepieciešami, lai nodrošinātu netraucētu un pilnvērtīgu valsts aizsardzības objekta uzdevumu izpildi. Izdevumu apmēru nosaka un izdevumus atlīdzina pēc savstarpējas rakstveida vienošanās, nosakot kompensācijas veidu un kārtību. Izvērtējot kompensējošā mehānisma izveidošanas iespējas, izvēlas tehniski atbilstošāko un pēc iespējas ekonomiski izdevīgāko risinājumu.”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skaidrojumu, ka gadījumā, ja tiks pieņems lēmums arī Latvijā izstrādāt kompensācijas mehānismu, lai mazinātu vēja parku būvniecības potenciālo negatīvo ietekmi uz navigācijas tehnisko līdzekļu darbību ieviešanu, ka tas tiks izstrādāts, ievērojot komercdarbības atbalsta regulējumu. Vienlaikus aicinām izvērtēt nepieciešamību papildināt likumprojektu ar deleģējumu Ministru kabinetam izdod noteikumus, kas paredz šādu kompensācijas mehānismu, lai tajos ietvertu arī nepieciešamos nosacījumus no komercdarbības atbalsta regulējuma.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norādītajam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tiktu pieņemts lēmums arī Latvijā izstrādāt valsts atbalsta instrumentu - kompensācijas mehānismu, lai mazinātu vēja parku būvniecības potenciālo negatīvo ietekmi uz navigācijas tehnisko līdzekļu darbību ieviešanu, tas tiktu izstrādāts, ievērojot komercdarbības atbalsta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anotāciju papildināt ar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36. panta trešās daļas 1. punkts aizliedz Baltijas jūras un Rīgas jūras līča krasta kāpu aizsargjoslā (turpmāk – krasta kāpu aizsargjosla) un pludmalē atsavināt valsts vai pašvaldības īpašumā esošu zemi, izņemot likumos noteiktos gadījumus, kad personai ir tiesības iegūt īpašumā zemi zem ēkas (būves), ievērojot nosacījumu, ka īpašuma tiesības uz ēku (būvi) attiecīgajai personai ir nostiprinātas zemesgrāmatā. Aizsargjoslu likuma 36. panta trešās daļas 1. punkta mērķis ir saglabāt valsts vai pašvaldības īpašumā zemi krasta kāpu aizsargjoslā, lai nodrošinātu Aizsargjoslu likuma 6. pantā noteikto aizsargjoslas izveides mērķu sasniegšanu, tajā skaitā, atpūtai un tūrismam nepieciešamo resursu un citu sabiedrībai nozīmīgu teritoriju saglabāšanu un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valstij pieder vai piekrīt zeme un/vai ēkas, kas atrodas krasta kāpu aizsargjoslā, taču nav nepieciešamas un netiek izmantotas valsts funkciju nodrošināšanai, piemēram, valsts nekustamais īpašums “Ainažu ostas laukums” (kadastra Nr. 6605 0020 023), Ainažos, Salacgrīvas novadā, kas atrodas Satiksmes ministrijas valdījumā”. Tāpat arī Finanšu ministrijas valdījumā (VAS “Valsts nekustamie īpašumi” pārvaldīšanā) atrodas nekustamie īpašumi, kuri sastāv no zemes un būves vai neapbūvētas zemes vienības un atrodas Baltijas jūras un Rīgas jūras līča krasta kāpu aizsargjoslā, un kuri nav nepieciešami valsts pārvaldes funkciju veikšanai saskaņā ar Valsts pārvaldes iekārtas likumu. Daļa no valsts nekustamajiem īpašumiem pārņemti no citām ministrijām Finanšu ministrijas valdījumā atbilstoši Valsts nekustamā īpašuma vienotas pārvaldīšanas un apsaimniekošanas koncepcijas (apstiprināta ar Ministru kabineta 2006. gada 9. maija rīkojumu Nr. 319 “Par Valsts nekustamā īpašuma vienotas pārvaldīšanas un apsaimniekošanas koncepciju”) IV. nodaļā ietvertā risinājuma 2. varianta 8. punktā noteiktajam, tādējādi atbrīvojot ministrijas no tām neraksturīgu funkciju veikšanas (nekustamā īpašuma pārvaldīšanas). Ņemot vērā Aizsargjoslu likumā noteikto atsavināšanas aizliegumu, šobrīd pašvaldībām to īpašumā nav iespējams nodot iepriekš minētos nekustamos īpašumus, piemēram, nekustamo īpašumu (kadastra Nr. 1300 008 1202) Dzintaru prospektā 27, Jūrmalā, kurš sastāv no zemes vienības 0,3416 ha platībā un divām ēkām – bērnudārza un lapenes. Nekustamo īpašumu Izglītības un zinātnes ministrija 2014. gada jūnijā nodeva Finanšu ministrijas valdījumā, jo tas vairs nebija nepieciešams Izglītības un zinātnes ministrijas funkciju veikšanai. Nekustamajā īpašumā darbojas Jūrmalas Alternatīvās skolas pirmsskolas izglītības iestāde. Jūrmalas pilsētas pašvaldība ir izrādījusi interesi pārņemt nekustamo īpašumu bez atlīdzības pašvaldības īpašumā, lai nodrošinātu pašvaldības autonomās funkcijas pildīšanu – gādāt par iedzīvotāju izglītību un nodrošināt pirmsskolas un skolas vecuma bērnus ar vietām mācību un audzināšanas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Jūrmalas pilsētas dome ar 2020.gada 29.oktobra lēmumu Nr.588  (protokols Nr.19, 74.punkts) “Par nekustamajiem īpašumiem krasta kāpu aizsargjoslā un to pārņemšanu pašvaldības īpašumā", ir lēmusi pārņemt savā īpašumā vairākus Finanšu ministrijas valdījumā esošos valsts nekustamos īpašumus, kas atrodas Baltijas jūras un Rīgas jūras līča krasta kāpu vides un dabas resursu aizsardzības teritorijā, piemēram, nekustamo īpašumu nekustamo īpašumu (kadastra Nr.1300 007 1001) - 7. līnijā 1A, Jūrmalā, nekustamo īpašumu (kadastra Nr. 1300 009 1904) - Majori 1904, Jūrmalā; nekustamo īpašumu (kadastra Nr. 1300 014 0153) -  Melluži 0153, Jūrmalā, nekustamo īpašumu (kadastra Nr. 1300 025 0205) - Jaunķemeru ceļš 2, Jūrmalā, nekustamo īpašumu (kadastra Nr. 1300 007 1116) - Bulduri 1116, Jūrmalā, nekustamo īpašumu (kadastra Nr. 1300 007 1407) - Bulduri 1407, Jūrmalā, nekustamo īpašumu (kadastra Nr.1300 019 1103) -  Kaugurciems 1103, Jūrmalā, pašvaldības autonomās funkcijas īstenošanai saskaņā ar likuma “Par pašvaldībām” 15.panta pirmās daļas 2.punktu -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Šādus valstij piederošus vai piekrītošus nekustamos īpašumus var izmantot vietējās pašvaldības savu autonomo funkciju nodrošināšanai, vienlaikus veicinot aizsargjoslas izveides mērķu sasniegšanu un izmantošanu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15. panta otro daļu vietējā pašvaldība ir valdītājs tās administratīvajā teritorijā esošajai jūras piekrastes sauszemes daļai (pludmalei), kuras valdītājs nav par vides aizsardzību atbildīgā ministrija vai cita ministrija. Lai nodrošinātu vienotu pludmales un tai pieguļošo piekrastes apsaimniekošanu, atsevišķos gadījumos ir lietderīgi nodot valsts zemi krasta kāpu aizsargjoslā pašvaldībai, kura apsaimnieko pludmali, vai otrādi – pašvaldības zemi valstij. Zemes pārvaldības likuma 15. panta ceturtā daļa nosaka aizliegumu atsavināt valsts īpašumā esošo jūras piekrastes joslu (teritorija, kurā ietilpst jūras piekrastes ūdeņi un jūras piekrastes sauszemes daļa (pludmale)), un Civillikuma 1104. pants noteic, ka jūras piekraste pieder valstij līdz vietai, kuru sasniedz jūras augstākās bangas. Līdz ar to Likumprojekts paredz papildināt Aizsargjoslu likuma 36. panta trešās daļas 1. punktu, nosakot zemes atsavināšanas izņēmumu krasta kāpu aizsargjoslā, ja valsts zemi atsavina (nodod) pašvaldībai likumā “Par pašvaldībām” noteikto autonomo funkciju veikšanai vai pašvaldības zemi atsavina valstij tās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Aizsargjoslu likuma 36. panta trešās daļas 1. punkts aizliedz atsavināt valsts vai pašvaldību īpašuma esošu zemi. Likumprojekts paredz atsavināt tikai valsts zemi pašvaldībai un otrādi, tādejādi nepaplašinot personu loku, kam var atsavināt valsts vai pašvaldības īpašumā esošu zemi.”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atbilstoši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TM, EM, VARAM un LPS sniegt viedokli par to, vai nav iebildumu par likumprojekta anotācijas papildināšanu ar informāciju šādā redakcijā (sk. FM iebildumā norādīto pamatojumu).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- 30.12.2021.)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minēts, ka projektu izvērtēšanas kārtība tiek veikta atbilstoši Aizsardzības ministrijas iekšējos noteikumos noteiktajam. Tādējādi iespēju robežās tiek novērsta iespējama interešu konflikta rašanās, korupcijas riski un nodrošināta procesa pārskatāmība.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funkcijas “projektu izvērtēšana” un “atļaujas izsniegšana” ir pakļautas augstam korupcijas un interešu konflikta riskam, jo izvērtējot iesniegtos projektus un pieņemot lēmumu atļaut (ar vai bez nosacījuma, ka tiek veikti noteikti kompensējošie pasākumi) vai aizliegt būvniecības projekta īstenošanu, Aizsardzības ministrijas amatpersonas pienākumi ir saistīti ar lēmuma pieņemšanu attiecībā uz fizisku vai juridisku personu, kā arī paredz rīcību ar informāciju, kurai ir noteikts ierobežotas 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papildināt anotācijas tekstu, iekļaujot informāciju par Aizsardzības ministrijas izstrādātajiem pasākumiem, kurus ieviešot, tiks novērsts korupcijas un interešu konflikta risks būvniecības projektu izvērtēšanas un lēmuma pieņemšanas procesā, piemēram, vai pirms iesniegto projektu izvērtēšanas amatpersona rakstiski apliecinās, ka neatrodas interešu konflikta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 vienošanās tiek panākta sarunu vai rakstiskā procedūrā starp Aizsardzības ministriju un projekta pieteikuma iesniedzēju vai pārstāvi, kas tiek fiksēta (protokolētas gan sanāksmes, gan sarakste), lai nodrošinātu iespēju izvērtēt pieņemtā lēmuma atbilstību, ja rodas šāda nepieciešamība (piemēram, pušu strīdu gadījumā vai audita vajadzībām). Attiecīgā projektu izvērtēšana tiek veikta atbilstoši Aizsardzības ministrijas iekšējos noteikumos noteiktajai kārtībai, tādējādi iespēju robežās tiek novērsta iespējama interešu konflikta rašanās, korupcijas riski un nodrošināta procesa pārskatāmība. Būvniecības projektu izvērtēšanas un lēmuma pieņemšanas procesā iesniegtos dokumentus un plānoto būvniecības ieceri izvērtē vairāku aizsardzības resora iestādes (Aizsardzības ministrijas, Valsts aizsardzības militāro objektu un iepirkumu centra, Nacionālo bruņoto spēku), sniedzot atzinumu par plānotās būvniecības projekta aizsargjoslā ap valsts aizsardzības objekta ietekmi uz aizsardzības objekta operacionālajām spējām un, ja nepieciešams izvērtējot potenciālu kompensācijas mehānisma ieviešanas iespējamību. Pēc minēto atzinumu saņemšanas Aizsardzības ministrijas darba grupa, kurā ir noteikti locekļi (amatpersonas), izvērtē un pieņem lēmumu par konkrētā būvniecības projekta saskaņošanu. Atbilstoši likumprojektā piedāvātajam mehānismam, darba grupa var lemt par atļauju vai pamatotu atteikumu konkrētā būvniecības projekta īstenošanai, vai arī atļauju, pie nosacījuma, ka tiek veiktas noteiktas kompensējošās darbības, kas novērstu paredzētā būvniecības projekta negatīvo ietekmi uz valsts aizsardzības objekta darbību un operacionālajām spējām. Ņemot vērā, ka šāds lēmums tiek pieņemts darba grupas ietvaros, tiek novērsta vienpersonīga lēmuma pieņemšana un samazināti korupcijas un interešu konflikta riski. Atbilstoši likumprojektā paredzētajām izmaiņām, ar šī likuma stāšanos spēkā tiks veikti grozījumi minētajos Aizsardzības ministrijas iekšējos noteikumos. Tāpat aizsardzības ministrijas iekšējos noteikumos tiks paredzēts, ka pirms iesniegto projektu izvērtēšanas amatpersonas rakstiski apliecinās, ka neatrodas interešu konflikta situācijā. Vienlaikus, ņemot vērā noteikto projektu sensitivitāti un nepieciešamību nodrošināt projekta iesniedzēja komercinformācijas konfidencialitātes ievērošanu, šai informācijai tiek noteikts ierobežotas 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Savstarpējā vienošanās par izdevumu atlīdzināšanu tiek slēgta starp projekta iesniedzēju un Aizsardzības ministriju kā konkrēto aizsardzības objektu tiesisko valdītāju."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2009. gada 3. februāra noteikumu Nr.108 "Normatīvo aktu projektu sagatavošanas noteikumi" 30. punktam, ja nepieciešams, likumprojekta beigās aiz pārejas noteikumiem raksta noteikumus par likuma spēkā stāšanās laiku. Noteikumos par likuma spēkā stāšanās laiku secīgi raksta vārdus "likums stājas spēkā" un likuma spēkā stāšanās datumu attiecīgā locījumā vai citu spēkā stāšanās nosacījumu. Attiecīgi, ja iecerēts, ka likumprojekts stājas spēkā vispārējā kārtībā, proti, atbilstoši Latvijas Republikas Satversmes 69. pantā noteiktajai kārtībai, noteikumu par likuma spēkā stāšanās laiku likumprojektā neraksta.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sagatavotais likumprojekts “Grozījumi Aizsargjoslu likumā” (turpmāk – projekts) un par to izsakām šādu priekšlikumu. Projekta 1. un 2. pantā paredzētos grozījumus Aizsargjoslu likuma 50. panta otrajā daļā un 58.</w:t>
            </w:r>
            <w:r w:rsidR="00000000" w:rsidRPr="00000000" w:rsidDel="00000000">
              <w:rPr>
                <w:vertAlign w:val="superscript"/>
                <w:rtl w:val="0"/>
              </w:rPr>
              <w:t xml:space="preserve">5</w:t>
            </w:r>
            <w:r w:rsidR="00000000" w:rsidRPr="00000000" w:rsidDel="00000000">
              <w:rPr>
                <w:rtl w:val="0"/>
              </w:rPr>
              <w:t xml:space="preserve"> panta otrajā daļā piedāvājam papildus izvērtēt un nepieciešamības gadījumā precizēt. Vēršam uzmanību, ka kompensāciju par kaitējumu jāsaņem institūcijai, kurai ir nodarīts kaitējums, proti, projektā paredzētie tehniskie līdzekļi atrodas to bilancē un valdījumā. Tādējādi kompensācija tiešā veidā tiks paredzēta un izmantota dažādu nepilnību novēršanai. Piedāvājam projektā kā kompensācijas saņēmēju vispārināti paredzēt valsts aizsardzības objekta valdītāju, nevis konkrētu iestādi – Aizsardzības ministriju. Vienlaikus projekta anotācijā nepieciešams sniegt izvērstāku informāciju par šo objektu valdījuma tiesībām un pamatojumu Aizsardzības ministrijas tiesībām saņemt kompensāciju, ja atbilstoši grozījumi projektā netiek izdarīti.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ar norādi, ka savstarpējā vienošanās par izdevumu atlīdzināšanu tiek slēgta starp projekta iesniedzēju un Aizsardzības ministriju kā konkrēto aizsardzības objektu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 norma izdevumus atlīdzināt Aizsardzības ministrijai ir paredzēta ar nolūku, ņemot vērā, ka nepieciešamie kompensācijas pasākumi vairākos gadījumos var pārsniegt viena konkrētā aizsardzības objekta robežas. Tāpat noteiktos gadījumos var nākties lemt par jauna aizsardzības objekta izveidi vai arī ievērojami paplašināt konkrētā aizsardzības objekta mērogus vai funkcijas, turklāt šādam lēmumam par vienošanos ir ietekme uz valsts aizsardzības sistēmu plašākā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piedāvājam precizēt saskaņā ar Ministru kabineta 2009. gada 3. februāra noteikumu Nr.108 “Normatīvo aktu projektu sagatavošanas noteikumi” 71. punktā noteikto - grozījumu likumprojekta normas raksta atbilstoši grozāmo vienību secībai likumā, kurā izdara grozījumus. Tādējādi likumprojektā grozījums likuma 30.pantā nevar būt pēc grozījuma 50.pantā.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sākoties vēja parku attīstībai Latvijā, Aizsardzības ministrija savlaicīgi veica analīzi par to, kā tā varētu ietekmēt un traucēt Nacionālo bruņoto spēku jūras un gaisa radaru darbību un analīzes rezultātā tika veikti grozījumi Aviācijas likumā un Aizsargjoslu likumā un uz to pamata izdoti vairāki Ministru kabineta noteikumi, kas izdoti sākot no 2006.līdz 2015.gadam (veikts to uzskatījums). Savukārt tālāk anotācijā norādīts, ka  šis likumprojekts ir saistīts un tiek virzīts vienlaikus ar likumprojektu “Grozījumi likumā “Par Aviāciju””, kas paredz analogas izmaiņas, lai šādu kompensācijas mehānismu  attiecinātu arī uz militāro lidlauku darbības drošībai potenciāli bīstamiem objektiem teritorijās ap militārajiem lidlaukiem.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novērst pretrunu (t.sk. precizēt likuma “Par aviāciju” nosaukumu) un skaidrot, vai anotācijas sākumā norādītie grozījumi likumā “Par Aviāciju” ir veikti un vai uzskaitītie Ministru kabineta noteikumi ir izdoti, ņemot vērā Aizsardzības ministrijas veikto analīzi, vai arī ir domāti attiecīgo Ministru kabineta noteikumu grozījumi (t.sk. vai tie ir minētie noteikumi vai to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norādītajam - precizēts likuma "Par aviāciju" nosaukums un minēts, ka uzskaitītie Ministru kabineta noteikumi (vai to grozījumi) ir izdoti saskaņā ar 2014. gadā veiktajiem likuma grozījumiem Aizsargjoslu likumā un likumā "Par aviāciju".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tiek paredzēts, ka iespējamā projekta būvniecība aizsargjoslā ap valsts aizsardzības objektiem tiek vērtēta, balstoties uz anotācijā uzskaitītajiem principiem un kritējiem. Ņemot vērā, ka minētie principi un kritēriji ir noteikti likumprojekta anotācijā, kas nav juridiski saistoša, lūdzam izvērtēt šo principu un kritēriju noteikšanu normatīvajā aktā (likumprojektā vai Ministru kabineta noteikumu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anotācijā norādītajam, paredzēts, ka anotācijā uzskaitītie principi un kritēriji potenciālo būvniecības projektu izvērtēšanā tiek vērtēti saskaņā ar Aizsardzības ministrijas izstrādātajiem iekšējiem noteikumiem. Atbilstoši anotācijā norādītajam katra šāda projekta izvērtēšana ir individuāla un balstās uz visaptverošu un detalizētu tehnisko izvērtējumu, lai spētu nodrošināt gaisa telpas novērošanai  (pārklājumam) izvirzītās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2014. gada 20. maija  noteikumi Nr. 246 “Noteikumi par to valsts aizsardzības vajadzībām paredzēto navigācijas tehnisko līdzekļu un militāro jūras novērošanas tehnisko līdzekļu sarakstu, ap kuriem nosakāmas aizsargjoslas, aizsargjoslu platumu un tajās nosakāmajiem būvniecības ierobežojumiem” 19. punkts jau šobrīd paredz nepieciešamību saskaņot tādu būvju būvniecību, 1) kuras atrodas militāro jūras novērošanas tehnisko līdzekļu aizsargjoslā jūras teritorijā vai 2) kuras atrodas militāro jūras novērošanas tehnisko līdzekļu aizsargjoslā sauszemes teritorijā un kuru plānotais augstums pārsniedz 30 metru virs jūras līmeņa.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piektās rindkopas uzskaitījumā precizēt trešo punktu "3. noteikti reģioni (zonas) vēja parku attīstīšanai – teritoriālais plānojums;", lai novērstu nekorektu terminu lietojumu, jo jūrā zonējumu nosaka nevis ar teritorijas plānojumu, bet ar jūras plānojumu.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šo 3.punktu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noteikti reģioni (zonas) vēja parku attīstīšanai – jūras plānojums vai pašvaldības teritorijas plānojums;"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noteikti reģioni (zonas) vēja parku attīstīšanai – jūras plānojums vai pašvaldības teritorijas plānojums;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21-TA-1334</w:t>
    </w:r>
    <w:r>
      <w:br/>
    </w:r>
    <w:r w:rsidR="00000000" w:rsidRPr="00000000" w:rsidDel="00000000">
      <w:rPr>
        <w:rtl w:val="0"/>
      </w:rPr>
      <w:t xml:space="preserve">29.04.2022. 11.50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21-TA-1334</w:t>
    </w:r>
    <w:r>
      <w:br/>
    </w:r>
    <w:r w:rsidR="00000000" w:rsidRPr="00000000" w:rsidDel="00000000">
      <w:rPr>
        <w:rtl w:val="0"/>
      </w:rPr>
      <w:t xml:space="preserve">29.04.2022. 11.50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Izziņa_21-TA-1334.docx</dc:title>
</cp:coreProperties>
</file>

<file path=docProps/custom.xml><?xml version="1.0" encoding="utf-8"?>
<Properties xmlns="http://schemas.openxmlformats.org/officeDocument/2006/custom-properties" xmlns:vt="http://schemas.openxmlformats.org/officeDocument/2006/docPropsVTypes"/>
</file>