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24-TA-573: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Sabiedrības vajadzībām nepieciešamā nekustamā īpašuma atsavināšanas likuma 9. panta pirmo daļu atļaut Iekšlietu ministrijai atsavināt šādus nekustamos īpašumus, kas nepieciešami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visiem nekustamajiem īpašumiem, kuros ietilpstošās zemes vienības tiek atsavinātas, rīkojuma projektam pievienot aktuālās zemesgrāmatu nodalījumu izdrukas, izdrukas no Nekustamā īpašuma valsts kadastra informācijas sistēmas, kā arī nekustamo īpašumu vērtējumus (arī attiecībā uz tiem nekustamajiem īpašumiem, kuriem pievienoti vērtētāja aktualizācijas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ietverts nekustamo īpašumu atsavināmo daļu - zemes vienību uzskaitījums un to kadastra apzīmējumi. Vienlaikus konstatējams, ka attiecībā uz vairākām atsavināmajām zemes vienībām nav iespējams pārliecināties par to reģistrāciju Nekustamā īpašuma valsts kadastra informācijas sistēmā un zemesgrāmatā, jo vairākās rīkojuma projektam pievienotajās zemesgrāmatu izdrukās nav datu par zemes vienībām ar tādiem kadastra apzīmējumiem, kādi norādīti rīkojuma projektā un anotācijā, kā arī rīkojuma projektam nav pievienotas izdrukas no Nekustamā īpašuma valsts kadastra informācijas sistēmas. Vienlaikus arī atbilstoši ierastajai praksei šādu rīkojuma projektu virzīšanā, rīkojuma projektam būtu pievienojami nekustamo īpašumu vērtējumi.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Paskaidrojošiem dokumentiem papildināti ar iebildumā norādīto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Sabiedrības vajadzībām nepieciešamā nekustamā īpašuma atsavināšanas likuma 9. panta pirmo daļu atļaut Iekšlietu ministrijai atsavināt šādus nekustamos īpašumus, kas nepieciešami Latvijas Republikas un Baltkrievijas Republikas valsts robežas joslas, patrulēšanas joslas un  robežzīmju uzraudzības joslas ierīkošanai: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atsavināšanu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Sabiedrības vajadzībām nepieciešamā nekustamā īpašuma atsavināšanas likuma 18. pantā minētajos paziņojumos par īpašuma daļas atsavināšanas nepieciešamību, kurus institūcija nosūta nekustamo īpašumu īpašniekiem, jānorāda, ka saskaņā ar Ārējās sauszemes robežas infrastruktūras izbūves likuma 3. panta pirmo daļu par labu Iekšlietu ministrijai </w:t>
            </w:r>
            <w:r w:rsidR="00000000" w:rsidRPr="00000000" w:rsidDel="00000000">
              <w:rPr>
                <w:b w:val="1"/>
                <w:u w:val="single"/>
                <w:rtl w:val="0"/>
              </w:rPr>
              <w:t xml:space="preserve">tiks</w:t>
            </w:r>
            <w:r w:rsidR="00000000" w:rsidRPr="00000000" w:rsidDel="00000000">
              <w:rPr>
                <w:rtl w:val="0"/>
              </w:rPr>
              <w:t xml:space="preserve"> nodibināts servitūts. Tieslietu ministrija secina, ka no Ārējās sauszemes robežas infrastruktūras izbūves likuma 3. panta pirmās daļas izriet, ka konkrētajā gadījumā servitūts par labu valstij Iekšlietu ministrijas personā ir ticis nodibināts ar Ārējās sauszemes robežas infrastruktūras izbūves likumu - tā spēkā stāšanās dienā. Attiecīgi tas ir servitūts, kas nodibināts ar likumu (Civillikuma 1231.panta 1.punkts).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ņemts vērā turpmākā atsavināšanas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daļu atsavināšanu Latvijas Republikas un Baltkrievijas Republikas valsts robežas joslas, patrulēšanas joslas un robežzīmju uzraudzības joslas ierīkošanai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par katru no 12 nekustamiem īpašumiem ir pievienoti vairāki pamatojošie dokumenti, kas pēc būtības sastāda dokumentu paku. Tomēr izskatās, ka dažiem nekustamiem īpašumiem trūkst daži dokumenti, piemēram, atzinums vērtējumam trūkst nekustamiem īpašumiem "Alas", "Vilcāni", "Laucesas" un "Jaunbebrīši", apgrūtinājumu plāns trūkst nekustamam īpašumam "Alas".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izvērtēt, vai ir nepieciešams papildināt projektu pamatojošos dokumentus ar minētajiem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papildināti ar informāciju no Nekustamā īpašuma valsts kadastra informācijas sistēmas datiem, kurā redzama informācija par noteiktiem apgrūtinājumiem zemes vienībai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24-TA-573</w:t>
    </w:r>
    <w:r>
      <w:br/>
    </w:r>
    <w:r w:rsidR="00000000" w:rsidRPr="00000000" w:rsidDel="00000000">
      <w:rPr>
        <w:rtl w:val="0"/>
      </w:rPr>
      <w:t xml:space="preserve">14.06.2024. 11.20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24-TA-573</w:t>
    </w:r>
    <w:r>
      <w:br/>
    </w:r>
    <w:r w:rsidR="00000000" w:rsidRPr="00000000" w:rsidDel="00000000">
      <w:rPr>
        <w:rtl w:val="0"/>
      </w:rPr>
      <w:t xml:space="preserve">14.06.2024. 11.20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Izziņa_24-TA-573.docx</dc:title>
</cp:coreProperties>
</file>

<file path=docProps/custom.xml><?xml version="1.0" encoding="utf-8"?>
<Properties xmlns="http://schemas.openxmlformats.org/officeDocument/2006/custom-properties" xmlns:vt="http://schemas.openxmlformats.org/officeDocument/2006/docPropsVTypes"/>
</file>