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Komercdarbības atbalsta kontroles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Komercdarbības atbalsta kontroles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uztur iepriekš izteikto iebildumu un aicina Komercdarbības atbalsta kontroles likumā </w:t>
            </w:r>
            <w:r w:rsidR="00000000" w:rsidRPr="00000000" w:rsidDel="00000000">
              <w:rPr>
                <w:b w:val="1"/>
                <w:rtl w:val="0"/>
              </w:rPr>
              <w:t xml:space="preserve">paredzēt tiesisko deleģējumu, kas ļauj atbalsta programmu Ministru kabineta noteikumos noteikt, ka 5.panta nosacījumi nav piemērojami uz projekta personāla izmaksām, ja atklātā konkursā ir izvēlēts pretendents vai Ministru kabineta noteikumos ir noteikts pretendents un šis pretendents neveic ražošanu un tirdzniecību.</w:t>
            </w:r>
            <w:r w:rsidR="00000000" w:rsidRPr="00000000" w:rsidDel="00000000">
              <w:rPr>
                <w:rtl w:val="0"/>
              </w:rPr>
              <w:t xml:space="preserve"> Ekonomikas ministrija ir identificējusi, ka vairākās atbalsta programmās šobrīd pastāv problēma ar programmu īstenošanu, jo finansējuma saņēmējiem programmu administrēšana tiek uzskaitīta kā komercdarbības atbalsts, lai gan faktiski viņi negūst labumu no projekta, bet gan nodrošina projektu īstenošanu, kas paredz noteiktus MK noteikumu līmenī atrunātus pienākumus kā atbalsta apsaimniekotajam, ko deleģējis MK. Turklāt jāņem vērā, ka minētais pienākums, ko uzņemas finansējuma saņēmēji nekropļo tirgu, jo kaskādes veidā nodrošina tālāku atbalsta sniegšanu noteiktai MK noteikumos atrunātai mērķauditorijai. Vēršam uzmanību, ka uz projekta personāla izmaksām, kas sniedz ārpakalpojumu nav attiecināms komercdarbības atbalsts, līdz ar to, lai nodrošinātu vienotu pieeju nepieciešams papildināt likumprojektu, paredzot izņēmumu, ka komercdarbības atbalsta kontroles likuma 5.panta nosacījumi nav piemērojami uz projekta personāla izmaksām, ja atklātā konkursā ir izvēlēts pretendents vai Ministru kabineta noteikumos ir noteikts pretendents un šis pretendents neveic ražošanu un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 starpinstitūciju saskaņošanas sanāksmē </w:t>
            </w:r>
            <w:r w:rsidR="00000000" w:rsidRPr="00000000" w:rsidDel="00000000">
              <w:rPr>
                <w:u w:val="single"/>
                <w:rtl w:val="0"/>
              </w:rPr>
              <w:t xml:space="preserve">panākta vienošanās</w:t>
            </w:r>
            <w:r w:rsidR="00000000" w:rsidRPr="00000000" w:rsidDel="00000000">
              <w:rPr>
                <w:rtl w:val="0"/>
              </w:rPr>
              <w:t xml:space="preserve"> ar Ekonomikas ministriju un pēc saņemtā Finanšu ministrijas skaidrojuma tā informēja, ka izteikto </w:t>
            </w:r>
            <w:r w:rsidR="00000000" w:rsidRPr="00000000" w:rsidDel="00000000">
              <w:rPr>
                <w:u w:val="single"/>
                <w:rtl w:val="0"/>
              </w:rPr>
              <w:t xml:space="preserve">iebildumu neuztur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KAKL mērķis ir nodrošināt komercdarbības atbalsta īstenošanas tiesiskumu, noteikt Latvijas nacionālās kontroles kompetences un procedūras komercdarbības atbalsta jomā, lai mazinātu komercdarbības atbalsta negatīvo ietekmi uz konkurenci, proti, tas satur </w:t>
            </w:r>
            <w:r w:rsidR="00000000" w:rsidRPr="00000000" w:rsidDel="00000000">
              <w:rPr>
                <w:u w:val="single"/>
                <w:rtl w:val="0"/>
              </w:rPr>
              <w:t xml:space="preserve">horizontāli noteiktu kārtību, kas ir piemērojama attiecībā uz atbalsta pasākumu izstrādi, ieviešanu un īstenošanu</w:t>
            </w:r>
            <w:r w:rsidR="00000000" w:rsidRPr="00000000" w:rsidDel="00000000">
              <w:rPr>
                <w:rtl w:val="0"/>
              </w:rPr>
              <w:t xml:space="preserve">. KAKL 5.pantā ir noteikti tikai kritēriji, kuru vienlaicīgas izpildes gadījumā konkrētais atbalsta pasākums ir vai nav kvalificējams kā komercdarbības atbalsts. Skaidrojam, ka </w:t>
            </w:r>
            <w:r w:rsidR="00000000" w:rsidRPr="00000000" w:rsidDel="00000000">
              <w:rPr>
                <w:u w:val="single"/>
                <w:rtl w:val="0"/>
              </w:rPr>
              <w:t xml:space="preserve">attiecīgā atbalsta pasākuma izvērtēšanu, tai skaitā KAKL 5.pantā minēto kritēriju izpildi, atbalsta sniedzējam ir jāvērtē attiecīgā atbalsta pasākuma ietvaros, ņemot vērā tā mērķi un plānotos ieviešanas nosacījumus</w:t>
            </w:r>
            <w:r w:rsidR="00000000" w:rsidRPr="00000000" w:rsidDel="00000000">
              <w:rPr>
                <w:rtl w:val="0"/>
              </w:rPr>
              <w:t xml:space="preserve">. Papildus vēršam uzmanību, ka, lai izslēgtu kādu no KAKL 5.pantā noteiktajām pazīmēm (piemēram, ekonomisko priekšrocību), atbalsta sniedzējam ir jānodrošina komercdarbības atbalsta kontroles regulējumā paredzēto nosacījumu izpildi, un tas ir veicams tieši konkrētā atbalsta pasākuma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KAKL 5.pantā minētie principi izriet no Līguma par Eiropas Savienības darbību (turpmāk - LESD) 107.panta 1.punkta un dalībvalsts nav tiesīga noteikt izņēmumus, kas būtu pretrunā Eiropas Savienības tiesībām, jo tad tas būtu kvalificējams kā Eiropas Savienības tiesību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Ekonomikas ministrijas iebildumā minēto, skaidrojam, ka tajā ietvertais piedāvājums - </w:t>
            </w:r>
            <w:r w:rsidR="00000000" w:rsidRPr="00000000" w:rsidDel="00000000">
              <w:rPr>
                <w:i w:val="1"/>
                <w:rtl w:val="0"/>
              </w:rPr>
              <w:t xml:space="preserve">paredzēt tiesisko deleģējumu, kas ļautu atbalsta programmu ietvaros noteikt, ka KAKL 5.panta nosacījumi nav piemērojami uz projekta personāla izmaksām, ja atklātā konkursā ir izvēlēts pretendents vai Ministru kabineta noteikumos ir noteikts pretendents un šis pretendents neveic ražošanu un tirdzniecību</w:t>
            </w:r>
            <w:r w:rsidR="00000000" w:rsidRPr="00000000" w:rsidDel="00000000">
              <w:rPr>
                <w:rtl w:val="0"/>
              </w:rPr>
              <w:t xml:space="preserve">, potenciāli paredz KAKL noteikt nelikumīga komercdarbības atbalsta piešķiršanu, kas nav pieļaujams un atbalstāms, jo, piemēram, gadījumā, ja atbalsta programmā paredzētais atbalsta pretendents ir tāds, kas neveic preču ražošanu un tirdzniecību, bet piedāvā pakalpojumu tirgū, tas automātiski nenozīmē, ka publisko līdzekļu piešķiršana tā veiktajām darbībām nekvalificētos  kā komercdarbības atbalsts. Šādā situācijā var iestāties nelikumīga komercdarbības atbalsta gadījums, jo atbalsta sniedzējs neizpildītu tā pienākumu veikt attiecīgo analīzi par atbilstību visām komercdarbības atbalsta pazīmēm, kas noteiktas LESD 107.panta 1.punktā, lai secinātu, vai konkrētajā gadījumā nav piemērojams atbilstīgs komercdarbības atbalsta regulējums. Līdz ar to KAKL nav papildināms ar automātisku izņēmumu attiecībā uz Ekonomikas ministrijas iebildumā paredzēto situāciju.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Komercdarbības atbalsta kontroles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Komercdarbības atbalsta kontroles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identificējusi, ka vairākās atbalsta programmās šobrīd pastāv problēma ar programmu īstenošanu, jo finansējuma saņēmējiem programmu administrēšana tiek uzskaitīta kā komercdarbības atbalsts, lai gan faktiski viņi negūst labumu no projekta, bet gan nodrošina projektu īstenošanu, kas paredz noteiktus MK noteikumu līmenī atrunātus pienākumus kā atbalsta apsaimniekotajam, ko deleģējis MK. Turklāt jāņem vērā, ka minētais pienākums, ko uzņemas finansējuma saņēmēji nekropļo tirgu, jo kaskādes veidā nodrošina tālāku atbalsta sniegšanu noteiktai MK noteikumos atrunātai mērķauditorijai. Vēršam uzmanību, ka uz projekta personāla izmaksām, kas sniedz ārpakalpojumu nav attiecināms komercdarbības atbalsts, līdz ar to, lai nodrošinātu vienotu pieeju lūgums papildināt likumprojektu ar 5</w:t>
            </w:r>
            <w:r w:rsidR="00000000" w:rsidRPr="00000000" w:rsidDel="00000000">
              <w:rPr>
                <w:vertAlign w:val="superscript"/>
                <w:rtl w:val="0"/>
              </w:rPr>
              <w:t xml:space="preserve">1</w:t>
            </w:r>
            <w:r w:rsidR="00000000" w:rsidRPr="00000000" w:rsidDel="00000000">
              <w:rPr>
                <w:rtl w:val="0"/>
              </w:rPr>
              <w:t xml:space="preserve"> pantu, paredzot izņēmumu, ka komercdarbības atbalsta kontroles likuma 5.panta nosacījumi nav piemērojami uz projekta personāla izmaksām, ja atklātā konkursā ir izvēlēts pretendents vai Ministru kabineta noteikumos ir noteikts pretendents un šis pretendents neveic ražošanu un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KAKL mērķis ir nodrošināt komercdarbības atbalsta īstenošanas tiesiskumu, noteikt Latvijas nacionālās kontroles kompetences un procedūras komercdarbības atbalsta jomā, lai mazinātu komercdarbības atbalsta negatīvo ietekmi uz konkurenci, proti, tas satur horizontāli noteiktu kārtību, kas ir piemērojama attiecībā uz atbalsta pasākumu izstrādi, ieviešanu un īstenošanu. KAKL 5.pantā ir noteikti tikai kritēriji, kuru vienlaicīgas izpildes gadījumā konkrētais atbalsta pasākums ir vai nav kvalificējams kā komercdarbības atbalsts. Skaidrojam, ka attiecīgā atbalsta pasākuma izvērtēšanu, tai skaitā KAKL 5.pantā minēto kritēriju izpildi, atbalsta sniedzējam ir jāvērtē attiecīgā atbalsta pasākuma ietvaros, ņemot vērā tā mērķi un plānotos ieviešanas nosacījumus. Papildus vēršam uzmanību, ka, lai izslēgtu kādu no KAKL 5.pantā noteiktajām pazīmēm (piemēram, ekonomisko priekšrocību), atbalsta sniedzējam ir jānodrošina komercdarbības atbalsta kontroles regulējumā paredzēto nosacījumu izpildi, un tas ir veicams tieši konkrētā atbalsta pasākuma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KAKL nav papildināms ar iebildumā minēto normu, jo KAKL 5.pantā minēto kritēriju analīze ir veicama, izstrādājot un ieviešot konkrētos atbalsta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Komercdarbības atbalsta kontroles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11. punktu pēc vārdiem "pārkāpjot tā" ar vārdiem "Eiropas Savienības".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informāciju par Komercdarbības atbalsta kontroles likuma (turpmāk - Likums) 1. panta otrās daļas 11. punktā paredzētā grozījuma nepieciešamību. Tostarp anotācijā norādīts, ka "ar minēto precizējumu tiek nodrošināta skaidrāka atbalsta sniedzēju un atbalsta saņēmēju izpratne par "nelikumīga komercdarbības atbalsta" iestāšanas gadījumiem", tomēr nav skaidrots, kādu pastāvošu tiesisko problēmu vai neskaidrību paredzēts risināt ar piedāvāto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vērtēt piedāvāto grozījumu Likuma 1. panta otrās daļas 11. punktā no Likuma sistēmas viedokļa. Proti, grozījums pēc būtības paredz precizēt nepamatoti izlietota komercdarbības atbalsta definīciju, sašaurinot definīcijā ietverto atsauci uz "tiesību aktiem" un nosakot, ka šādi akti ir Eiropas Savienības tiesību akti (t.i., nosakot, ka "</w:t>
            </w:r>
            <w:r w:rsidR="00000000" w:rsidRPr="00000000" w:rsidDel="00000000">
              <w:rPr>
                <w:i w:val="1"/>
                <w:rtl w:val="0"/>
              </w:rPr>
              <w:t xml:space="preserve">par nelikumīgu komercdarbības atbalstu uzskata arī nepamatoti izlietotu komercdarbības atbalstu, tas ir, tādu komercdarbības atbalstu, kuru tā saņēmējs izmanto, pārkāpjot tā </w:t>
            </w:r>
            <w:r w:rsidR="00000000" w:rsidRPr="00000000" w:rsidDel="00000000">
              <w:rPr>
                <w:i w:val="1"/>
                <w:u w:val="single"/>
                <w:rtl w:val="0"/>
              </w:rPr>
              <w:t xml:space="preserve">Eiropas Savienības</w:t>
            </w:r>
            <w:r w:rsidR="00000000" w:rsidRPr="00000000" w:rsidDel="00000000">
              <w:rPr>
                <w:i w:val="1"/>
                <w:rtl w:val="0"/>
              </w:rPr>
              <w:t xml:space="preserve"> tiesību akta nosacījumus, ar kuru komercdarbības atbalsta saņēmējam saskaņā ar tiesību aktos noteikto tika piešķirtas tiesības saņemt komercdarbības atbalstu, vai pārkāpjot tāda Eiropas Komisijas lēmuma nosacījumus, kurš pieņemts atbilstoši Padomes regulas Nr. 2015/1589 4. panta 2. un 3. punktam vai 9. panta 2., 3. vai 4. punktam</w:t>
            </w:r>
            <w:r w:rsidR="00000000" w:rsidRPr="00000000" w:rsidDel="00000000">
              <w:rPr>
                <w:rtl w:val="0"/>
              </w:rPr>
              <w:t xml:space="preserve">"). Tomēr no citām Likuma normām, tostarp no regulējuma par nelikumīga un nesaderīga komercdarbības atbalsta atgūšanu, secināms, ka  komercdarbības atbalsta nosacījumi var izrietēt arī tostarp no Saeimas vai Ministru kabineta lēmumiem  (sk., piemēram, Likuma 19. panta trešo daļu). Tāpat arī daudzos Ministru kabineta noteikumos šobrīd ir jau ietverts nosacījums, ka nepamatoti izlietots komercdarbības atbalsts atgūstams </w:t>
            </w:r>
            <w:r w:rsidR="00000000" w:rsidRPr="00000000" w:rsidDel="00000000">
              <w:rPr>
                <w:u w:val="single"/>
                <w:rtl w:val="0"/>
              </w:rPr>
              <w:t xml:space="preserve">saskaņā ar Likuma IV vai V nodaļas noteikumiem</w:t>
            </w:r>
            <w:r w:rsidR="00000000" w:rsidRPr="00000000" w:rsidDel="00000000">
              <w:rPr>
                <w:rtl w:val="0"/>
              </w:rPr>
              <w:t xml:space="preserve">, ja personas ir pārkāpusi</w:t>
            </w:r>
            <w:r w:rsidR="00000000" w:rsidRPr="00000000" w:rsidDel="00000000">
              <w:rPr>
                <w:u w:val="single"/>
                <w:rtl w:val="0"/>
              </w:rPr>
              <w:t xml:space="preserve"> </w:t>
            </w:r>
            <w:r w:rsidR="00000000" w:rsidRPr="00000000" w:rsidDel="00000000">
              <w:rPr>
                <w:u w:val="single"/>
                <w:rtl w:val="0"/>
              </w:rPr>
              <w:t xml:space="preserve">attiecīgajos Ministru kabineta noteikumos noteiktās</w:t>
            </w:r>
            <w:r w:rsidR="00000000" w:rsidRPr="00000000" w:rsidDel="00000000">
              <w:rPr>
                <w:rtl w:val="0"/>
              </w:rPr>
              <w:t xml:space="preserve"> komercdarbības atbalsta kontroles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vērtēt arī to, kā grozījumi Likuma 1. panta otrās daļas 11. punktā ietekmēs iepriekšminētos nesaderīga valsts atbalsta atgūšanas nosacījumus, proti, vai nacionālo valsts atbalsta nosacījumu pārkāpums tiks kvalificēts kā nesaderīgs valsts atbalsts un vai saistībā ar likumprojektu būs nepieciešami citu normatīvo aktu grozījumi (tostarp iepriekš minētā valsts atbalsta shēmu regulējošos Ministru kabineta noteikumos iekļautā nesaderīga valsts atbalsta atgūšanas klauzula). Minēto vērtējumu tiesiskās skaidrības nolūkos lūdzam ietvert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11. punktu pēc vārdiem "pārkāpjot tā" ar vārdiem "Eiropas Savienības".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minēts, ka: ”Vienlaikus Zemkopības ministrija kā atbildīgā nozares ministrija veic arī nozarei nepieciešamo atbalsta pasākumu izstrādi un paziņošanu Eiropas Komisijai (ja attiecināms) gadījumos, kad šie atbalsta pasākumi tiek ieviesti, piemērojot, piemēram, Komisijas 2014.gada 17.jūnija Regulu (ES) Nr.651/2014, ar ko noteiktas atbalsta kategorijas atzīst par saderīgām ar iekšējo tirgu, piemērojot Līguma 107. un 108.pantu (Dokuments attiecas uz EEZ) (turpmāk - Komisijas regula Nr.651/2014) un citus Eiropas Savienības līmeņa tiesību aktus, savukārt sākotnējo izvērtējumu par šiem atbalsta pasākumiem atbilstoši savai kompetencei sniedz Finanšu ministrija kā komercdarbības atbalsta uzraudzības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minētajam formulējumam, jo tas nozīmē pārņemt Finanšu ministrijas kompetencē esošas funkcijas par Komisijas 2014.gada 17.jūnija Regulā (ES) Nr.651/2014, ar ko noteiktas atbalsta kategorijas atzīst par saderīgām ar iekšējo tirgu, piemērojot Līguma 107. un 108.pantu (Dokuments attiecas uz EEZ) noteikto  paziņošanu Eiropas Komisijai (ja attiecināms) gadījumos, kad tiek ieviesti šīs regulas atbalsta pasākumi un citi Eiropas Savienības līmeņa tiesību aktu pasākumi. Ņemot vērā, ka Zemkopības ministrijā komercdarbības atbalsta kontroles jomā nav atsevišķa sturktūrvienība, kas nodarbotos ar komercdarbības atbalsta nosacījumu izvērtēšanu, bet šie pienākumi ir kā papildu kompetence vienai amata vietai, salīdzinot ar Finanšu ministrijas Komercdarbības atbalsta departamentā 13 amata vietām, kas ir izveidotas tikai komercdarbības atbalsta kontrolei, lūdzam anotācija minēto tekstu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Zemkopības ministrija kā atbildīgā nozares ministrija par Komisijas 2014.gada 17.jūnija Regulu (ES) Nr.651/2014, ar ko noteiktas atbalsta kategorijas atzīst par saderīgām ar iekšējo tirgu, piemērojot Līguma 107. un 108.pantu (Dokuments attiecas uz EEZ) (turpmāk - Komisijas regula Nr.651/2014) un citiem Eiropas Savienības līmeņa tiesību aktiem, Finanšu ministrijai kā komercdarbības atbalsta uzraudzības institūcijai sniedz nepieciešamās konsultācijas par pareizu nozaru definīciju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veikts attiecīgs precizējums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Komercdarbības atbalsta kontroles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situācija, kad uz Ekonomikas ministrijas atbalsta programmām piesakās apjomīgs skaits komersantu pie de minimis atbalsta, tad programmu administrētājiem ir nepieciešams pārbaudīt liela apjoma informāciju pie katra atbalsta pieteikuma. Esošā situācija liecina, ka lēmumi tiek pieņemti ar īsu laika intervāla starpību, līdz ar to slogs veidojas ne tikai uz programmu administrētājiem, bet arī uz komersantiem, kuriem nepieciešams iesniegt informāciju pie katra pieteikuma īsā laika periodā. Lai mazinātu administratīvo slogu lūgums paredzēt nosacījumu, ka gadījumā, ja ir pieņemts lēmums par de minimis atbalstu, tad ne vēlāk kā septiņu kalendāro dienu laikā šī lēmuma informāciju izmanto cita  de minimis lēmuma pieņemšanā. Ekonomikas ministrijas ieskatā septiņu kalendāro dienu laikā nevar būtiski mainīties informācija, kas var ietekmēt komercdarbības 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 starpinstitūciju saskaņošanas sanāksmē </w:t>
            </w:r>
            <w:r w:rsidR="00000000" w:rsidRPr="00000000" w:rsidDel="00000000">
              <w:rPr>
                <w:u w:val="single"/>
                <w:rtl w:val="0"/>
              </w:rPr>
              <w:t xml:space="preserve">panākta vienošanās</w:t>
            </w:r>
            <w:r w:rsidR="00000000" w:rsidRPr="00000000" w:rsidDel="00000000">
              <w:rPr>
                <w:rtl w:val="0"/>
              </w:rPr>
              <w:t xml:space="preserve"> ar Ekonomikas ministriju un pēc saņemtā Finanšu ministrijas skaidrojuma tā informēja, ka </w:t>
            </w:r>
            <w:r w:rsidR="00000000" w:rsidRPr="00000000" w:rsidDel="00000000">
              <w:rPr>
                <w:u w:val="single"/>
                <w:rtl w:val="0"/>
              </w:rPr>
              <w:t xml:space="preserve">izteikto priekšlikumu neuztur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priekšlikumā ietvertais piedāvājums nav vērtējams KAKL kā horizontāla komercdarbības atbalsta kontroles regulējuma kontekstā, bet gan tas būtu attiecināms uz </w:t>
            </w:r>
            <w:r w:rsidR="00000000" w:rsidRPr="00000000" w:rsidDel="00000000">
              <w:rPr>
                <w:i w:val="1"/>
                <w:rtl w:val="0"/>
              </w:rPr>
              <w:t xml:space="preserve">de minimis</w:t>
            </w:r>
            <w:r w:rsidR="00000000" w:rsidRPr="00000000" w:rsidDel="00000000">
              <w:rPr>
                <w:rtl w:val="0"/>
              </w:rPr>
              <w:t xml:space="preserve"> atbalsta uzskaites un piešķiršanas kārtību. Vienlaikus skaidrojam, ka, lai nodrošinātu likumīga komercdarbības atbalsta piešķiršanu, tieši atbalsta piešķiršanas brīdī atbalsta sniedzēja rīcībā ir jābūt korektai un aktuālai informācijai, lai izvērtētu atbalsta pretendentu atbilstību visiem piemērojamā komercdarbības atbalsta regulējuma nosacījumiem, tai skaitā </w:t>
            </w:r>
            <w:r w:rsidR="00000000" w:rsidRPr="00000000" w:rsidDel="00000000">
              <w:rPr>
                <w:i w:val="1"/>
                <w:rtl w:val="0"/>
              </w:rPr>
              <w:t xml:space="preserve">de minimis</w:t>
            </w:r>
            <w:r w:rsidR="00000000" w:rsidRPr="00000000" w:rsidDel="00000000">
              <w:rPr>
                <w:rtl w:val="0"/>
              </w:rPr>
              <w:t xml:space="preserve"> atbalsta regulējumam (skat. </w:t>
            </w:r>
            <w:r w:rsidR="00000000" w:rsidRPr="00000000" w:rsidDel="00000000">
              <w:rPr>
                <w:i w:val="1"/>
                <w:rtl w:val="0"/>
              </w:rPr>
              <w:t xml:space="preserve">Komisijas 2023. gada 13. decembra regulas (ES) 2023/2831 par Līguma par Eiropas Savienības darbību 107. un 108. panta piemērošanu de minimis atbalstam </w:t>
            </w:r>
            <w:r w:rsidR="00000000" w:rsidRPr="00000000" w:rsidDel="00000000">
              <w:rPr>
                <w:rtl w:val="0"/>
              </w:rPr>
              <w:t xml:space="preserve">6.panta 4.punktā noteikto dalībvalstu pienākumu). Ņemot vērā līdzšinējo pieredzi </w:t>
            </w:r>
            <w:r w:rsidR="00000000" w:rsidRPr="00000000" w:rsidDel="00000000">
              <w:rPr>
                <w:i w:val="1"/>
                <w:rtl w:val="0"/>
              </w:rPr>
              <w:t xml:space="preserve">de minimis</w:t>
            </w:r>
            <w:r w:rsidR="00000000" w:rsidRPr="00000000" w:rsidDel="00000000">
              <w:rPr>
                <w:rtl w:val="0"/>
              </w:rPr>
              <w:t xml:space="preserve"> atbalsta gadījumā atbalsta pretendenta viena vienota uzņēmuma līmenī piešķirtais </w:t>
            </w:r>
            <w:r w:rsidR="00000000" w:rsidRPr="00000000" w:rsidDel="00000000">
              <w:rPr>
                <w:i w:val="1"/>
                <w:rtl w:val="0"/>
              </w:rPr>
              <w:t xml:space="preserve">de minimis</w:t>
            </w:r>
            <w:r w:rsidR="00000000" w:rsidRPr="00000000" w:rsidDel="00000000">
              <w:rPr>
                <w:rtl w:val="0"/>
              </w:rPr>
              <w:t xml:space="preserve"> atbalsta apmērs var būtiski mainīties arī dažu dienu laikā. Ņemot vērā iepriekš minēto, priekšlikumā ietvertais piedāvājums pēc būtības nav iekļaujams KAKL, kā arī nevar tikt noteikts </w:t>
            </w:r>
            <w:r w:rsidR="00000000" w:rsidRPr="00000000" w:rsidDel="00000000">
              <w:rPr>
                <w:i w:val="1"/>
                <w:rtl w:val="0"/>
              </w:rPr>
              <w:t xml:space="preserve">de minimis</w:t>
            </w:r>
            <w:r w:rsidR="00000000" w:rsidRPr="00000000" w:rsidDel="00000000">
              <w:rPr>
                <w:rtl w:val="0"/>
              </w:rPr>
              <w:t xml:space="preserve"> atbalsta uzskaites un piešķiršanas kārtību reglamentējošajā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Komercdarbības atbalsta kontroles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w:t>
            </w:r>
            <w:r w:rsidR="00000000" w:rsidRPr="00000000" w:rsidDel="00000000">
              <w:rPr>
                <w:i w:val="1"/>
                <w:rtl w:val="0"/>
              </w:rPr>
              <w:t xml:space="preserve">de minimis</w:t>
            </w:r>
            <w:r w:rsidR="00000000" w:rsidRPr="00000000" w:rsidDel="00000000">
              <w:rPr>
                <w:rtl w:val="0"/>
              </w:rPr>
              <w:t xml:space="preserve"> atbalsta apmērs komercsabiedrībai viena vienota uzņēmuma līmenī nepārsniedz maksimāli pieļaujamo </w:t>
            </w:r>
            <w:r w:rsidR="00000000" w:rsidRPr="00000000" w:rsidDel="00000000">
              <w:rPr>
                <w:i w:val="1"/>
                <w:rtl w:val="0"/>
              </w:rPr>
              <w:t xml:space="preserve">de minimis</w:t>
            </w:r>
            <w:r w:rsidR="00000000" w:rsidRPr="00000000" w:rsidDel="00000000">
              <w:rPr>
                <w:rtl w:val="0"/>
              </w:rPr>
              <w:t xml:space="preserve"> atbalsta apmēru, kas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Eiropas Savienības tieši piemērojamajā tiesību aktā </w:t>
            </w:r>
            <w:r w:rsidR="00000000" w:rsidRPr="00000000" w:rsidDel="00000000">
              <w:rPr>
                <w:i w:val="1"/>
                <w:rtl w:val="0"/>
              </w:rPr>
              <w:t xml:space="preserve">de minimis</w:t>
            </w:r>
            <w:r w:rsidR="00000000" w:rsidRPr="00000000" w:rsidDel="00000000">
              <w:rPr>
                <w:rtl w:val="0"/>
              </w:rPr>
              <w:t xml:space="preserve"> atbalstam vispārējai tautsaimniecībai,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Eiropas Savienības tieši piemērojamajā tiesību aktā </w:t>
            </w:r>
            <w:r w:rsidR="00000000" w:rsidRPr="00000000" w:rsidDel="00000000">
              <w:rPr>
                <w:i w:val="1"/>
                <w:rtl w:val="0"/>
              </w:rPr>
              <w:t xml:space="preserve">de minimis </w:t>
            </w:r>
            <w:r w:rsidR="00000000" w:rsidRPr="00000000" w:rsidDel="00000000">
              <w:rPr>
                <w:rtl w:val="0"/>
              </w:rPr>
              <w:t xml:space="preserve">atbalstam zvejniecības un akvakultūras nozarē un valsts līmenī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Eiropas Savienības tieši piemērojamajā tiesību aktā </w:t>
            </w:r>
            <w:r w:rsidR="00000000" w:rsidRPr="00000000" w:rsidDel="00000000">
              <w:rPr>
                <w:i w:val="1"/>
                <w:rtl w:val="0"/>
              </w:rPr>
              <w:t xml:space="preserve">de minimis</w:t>
            </w:r>
            <w:r w:rsidR="00000000" w:rsidRPr="00000000" w:rsidDel="00000000">
              <w:rPr>
                <w:rtl w:val="0"/>
              </w:rPr>
              <w:t xml:space="preserve"> atbalstam lauksaimniecības nozarē un valsts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1. panta otrās daļas 5. punktā tiek izsmeļoši noteikts </w:t>
            </w:r>
            <w:r w:rsidR="00000000" w:rsidRPr="00000000" w:rsidDel="00000000">
              <w:rPr>
                <w:i w:val="1"/>
                <w:rtl w:val="0"/>
              </w:rPr>
              <w:t xml:space="preserve">de minimis</w:t>
            </w:r>
            <w:r w:rsidR="00000000" w:rsidRPr="00000000" w:rsidDel="00000000">
              <w:rPr>
                <w:rtl w:val="0"/>
              </w:rPr>
              <w:t xml:space="preserve"> regulējuma tvērums, aicinām izvērtēt, vai Likuma 10. panta  trešās daļas 3. punktā nepieciešams minētais Eiropas Savienības tieši piemērojamo tiesību aktu uzskaitījums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Likuma 10.panta trešās daļas 3.punkta tvērumu un saturu, minētajā normā ir nepieciešams saglabāt Eiropas Savienības tieši piemērojamo tiesību aktu uzskaitījumu, ņemot vērā, ka minētā norma ir attiecināma uz trim no četriem Likuma 1.panta otrās daļas 5.punktā uzskaitītajiem Eiropas Savienības tieši piemērojamajiem tiesību aktiem un tādējādi nebūtu korekti šo uzskaitījumu aizstāt ar vispārīgu norādi uz Likuma 1.panta otrās daļas 5.punktu. Papildus skaidrojam, ka uzskaitījuma iekļaušana minētajā normā nodrošina viennozīmīgu izpratni par to, ka attiecībā uz katru no šīs normas tvērumā ietilpstošajām trim dažādajām tautsaimniecības sfērām ir piemērojams atšķirīgs Eiropas Savienības tieši piemērojams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w:t>
            </w:r>
            <w:r w:rsidR="00000000" w:rsidRPr="00000000" w:rsidDel="00000000">
              <w:rPr>
                <w:i w:val="1"/>
                <w:rtl w:val="0"/>
              </w:rPr>
              <w:t xml:space="preserve">de minimis</w:t>
            </w:r>
            <w:r w:rsidR="00000000" w:rsidRPr="00000000" w:rsidDel="00000000">
              <w:rPr>
                <w:rtl w:val="0"/>
              </w:rPr>
              <w:t xml:space="preserve"> atbalsta apmērs komercsabiedrībai viena vienota uzņēmuma līmenī nepārsniedz maksimāli pieļaujamo </w:t>
            </w:r>
            <w:r w:rsidR="00000000" w:rsidRPr="00000000" w:rsidDel="00000000">
              <w:rPr>
                <w:i w:val="1"/>
                <w:rtl w:val="0"/>
              </w:rPr>
              <w:t xml:space="preserve">de minimis</w:t>
            </w:r>
            <w:r w:rsidR="00000000" w:rsidRPr="00000000" w:rsidDel="00000000">
              <w:rPr>
                <w:rtl w:val="0"/>
              </w:rPr>
              <w:t xml:space="preserve"> atbalsta apmēru, kas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Eiropas Savienības tieši piemērojamajā tiesību aktā </w:t>
            </w:r>
            <w:r w:rsidR="00000000" w:rsidRPr="00000000" w:rsidDel="00000000">
              <w:rPr>
                <w:i w:val="1"/>
                <w:rtl w:val="0"/>
              </w:rPr>
              <w:t xml:space="preserve">de minimis</w:t>
            </w:r>
            <w:r w:rsidR="00000000" w:rsidRPr="00000000" w:rsidDel="00000000">
              <w:rPr>
                <w:rtl w:val="0"/>
              </w:rPr>
              <w:t xml:space="preserve"> atbalstam vispārējai tautsaimniecībai,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Eiropas Savienības tieši piemērojamajā tiesību aktā </w:t>
            </w:r>
            <w:r w:rsidR="00000000" w:rsidRPr="00000000" w:rsidDel="00000000">
              <w:rPr>
                <w:i w:val="1"/>
                <w:rtl w:val="0"/>
              </w:rPr>
              <w:t xml:space="preserve">de minimis </w:t>
            </w:r>
            <w:r w:rsidR="00000000" w:rsidRPr="00000000" w:rsidDel="00000000">
              <w:rPr>
                <w:rtl w:val="0"/>
              </w:rPr>
              <w:t xml:space="preserve">atbalstam zvejniecības un akvakultūras nozarē un valsts līmenī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Eiropas Savienības tieši piemērojamajā tiesību aktā </w:t>
            </w:r>
            <w:r w:rsidR="00000000" w:rsidRPr="00000000" w:rsidDel="00000000">
              <w:rPr>
                <w:i w:val="1"/>
                <w:rtl w:val="0"/>
              </w:rPr>
              <w:t xml:space="preserve">de minimis</w:t>
            </w:r>
            <w:r w:rsidR="00000000" w:rsidRPr="00000000" w:rsidDel="00000000">
              <w:rPr>
                <w:rtl w:val="0"/>
              </w:rPr>
              <w:t xml:space="preserve"> atbalstam lauksaimniecības nozarē un valsts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dzēst trešās daļas 7. punktā vārdus "fiskālos (kalendāra)".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iesakām šajā normā, kā arī likumprojekta 5. pantā vārdu "dzēst" aizstāt ar vārdu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trešās daļas 7. punktā vārdus "fiskālos (kalendāra)".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24-TA-274</w:t>
    </w:r>
    <w:r>
      <w:br/>
    </w:r>
    <w:r w:rsidR="00000000" w:rsidRPr="00000000" w:rsidDel="00000000">
      <w:rPr>
        <w:rtl w:val="0"/>
      </w:rPr>
      <w:t xml:space="preserve">17.04.2024. 13.41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24-TA-274</w:t>
    </w:r>
    <w:r>
      <w:br/>
    </w:r>
    <w:r w:rsidR="00000000" w:rsidRPr="00000000" w:rsidDel="00000000">
      <w:rPr>
        <w:rtl w:val="0"/>
      </w:rPr>
      <w:t xml:space="preserve">17.04.2024. 13.41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Izziņa_24-TA-274.docx</dc:title>
</cp:coreProperties>
</file>

<file path=docProps/custom.xml><?xml version="1.0" encoding="utf-8"?>
<Properties xmlns="http://schemas.openxmlformats.org/officeDocument/2006/custom-properties" xmlns:vt="http://schemas.openxmlformats.org/officeDocument/2006/docPropsVTypes"/>
</file>