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21-TA-384: Likumprojekts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MK kārtības rullis) 68. un 69. punktam termiņš atkārtotai saskaņošanai ir 5 darbdienas. Savukārt atbilstoši MK kārtības ruļļa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norāda, ka likumprojektam “Grozījumi Nacionālās drošības likumā” (turpmāk - Projekts) nav steidzamības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Projekta virzība TAP portālā uzsākta 2021. gada 24. septembrī, taču Tieslietu ministrija to ir saņēmusi tikai 2021. gada 28. septembrī ar termiņu atzinuma sniegšanai: 2021. gada 1. oktobris. Līdz ar to trīs darbdienu termiņš neatbilst Ministru kabineta 2021. gada 7. septembra noteikumos Nr.606 "Ministru kabineta kārtības rullis" paredzētajai tiesību aktu projektu saskaņošanas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atzinumu par Projektu sniegs līdz šā gada 5.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ņemot vērā, ka ir stājusies spēkā Eiropas Parlamenta un Padomes regula (ES) 2021/821 (2021. gada 20. maijs), ar ko izveido Savienības režīmu divējāda lietojuma preču eksporta, starpniecības, tehniskās palīdzības, tranzīta un pārvadājumu kontrolei. Šī regula atceļ likumprojektā minēto Padomes 2009. gada 5. maija regulu (EK) Nr. 428/2009, ar ko izveido Kopienas režīmu divējāda lietojuma preču eksporta, pārvadājumu, starpniecības un tranzīta kontrolei, kā arī tā papildina izņēmuma valstu sarakstu ar Islandi un Lihtenšteinu.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pēdējo divu gadu laikā ir tādu preču, kas iekļautas Eiropas Parlamenta un Padomes 2021. gada 20. maija regulas (ES) Nr. 2021/821, ar ko izveido Savienības režīmu divējāda lietojuma preču eksporta, starpniecības, tehniskās palīdzības, tranzīta un pārvadājumu kontrolei I. pielikumā, ražotāji un izstrādātāji, kas šādas divējāda lietojuma preces eksportē uz trešajām valstīm, izņemot Eiropas Savienības dalībvalstis, Amerikas Savienotās Valstis, Kanādu, Austrāliju, Jaunzēlandi, Norvēģiju, Šveici, Japānu, Apvienoto Karalisti, Islandi un Lihtenšteinu;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ir komercsabiedrība, kas ražo vai izstrādā divējāda lietojuma preces, kas iekļautas 2021. gada 20. maija Eiropas Parlamenta un Padomes regulas (ES) Nr. 2021/821, ar ko izveido Savienības režīmu divējāda lietojuma preču eksporta, starpniecības, tehniskās palīdzības, tranzīta un pārvadājumu kontrolei I. pielikumā, vai ražo vai izstrādā tādas tehnoloģijas kā mākslīgais intelekts, robotika, viedā un autonomā mobilitāte, kiberdrošība, enerģijas uzglabāšana, kvantu tehnoloģijas, kodoltehnoloģijas, nanotehnoloģijas, biotehnoloģijas, un kuru Ministru kabinets ir noteicis par nacionālajai drošībai nozīmīgu komercsabiedrību, pamatojoties uz valsts drošības iestādes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ar Ministru kabineta 2021. gada 7. septembra noteikumu Nr.606 "Ministru kabineta kārtības rullis"68. un 69. punktu atkārtotai saskaņošanai ir noteikts termiņš piecas darbdienas, un steidzamība šim tiesību akta projektam nav pamatota, Pārresoru koordinācijas centrs atzinumu par projektu sniegs līdz šā gada 5. 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Noziedzīgi iegūtu līdzekļu legalizācijas un terorisma un proliferācijas finansēšanas novēršanas likuma (turpmāk – Novēršanas likums) 18.panta septīto daļu, likuma subjekts, atbilstoši pamatojot un dokumentējot darbības, kas veiktas, lai noskaidrotu patieso labuma guvēju, par juridiskās personas vai juridiska veidojuma patieso labuma guvēju var uzskatīt personu, kura ieņem amatu izpildinstitūcijā šajā juridiskajā personā vai juridiskā veidojumā, ja ir izmantoti visi iespējamie noskaidrošanas līdzekļi un nav iespējams noskaidrot nevienu fizisko personu — patieso labuma guvēju, kā arī izslēgtas šaubas, ka juridiskajai personai vai juridiskam veidojumam ir cits patiesais labuma guvējs. Savukārt likumprojekta “Grozījumi Nacionālās drošības likumā” (turpmāk – Likumprojekts) 39.panta ceturtā daļa paredz citu kārtību gadījumos, kad patieso labuma guvēju nav iespējams noskaidrot, proti, tā vietā sniedzot informāciju par juridisko personu, kas neatbilst patiesā labuma guvēja definīcijai, jo patiesais labuma guvējs vienmēr ir fiziskā persona. Lūdzam precizēt piedāvāto Likumprojekta 39.panta ceturto daļu atbilstoši Novēršanas likuma 18.panta septītajai daļai, paredzot, ka gadījumos, kad patieso labuma guvēju noskaidrot nav iespējams, par juridiskās personas vai juridiska veidojuma patieso labuma guvēju var uzskatīt personu, kura ieņem amatu izpildinstitūcijā šajā juridiskajā personā vai juridiskā veidojumā (lielākajā daļā gadījumu valdes loceklis). Vienlaikus norādām, ka juridiskai personai var būt vairāku patiesie labuma guvēji, kas ne vienmēr būs saistīti tieši ar “kontroles ķēdē pēdējo juridisko personu”. Noteicošais apstāklis ir īstenotā kontrole un tiešās vai netiešās līdzdalības īpatsvars.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VSS 17.02.2022. sēdes protokola #6 3.punktu, kā arī Ekonomikas ministrijas organizētajām sanāksmēm š.g. 22. un 28. februārī, tika panāksta vienošanās starp FM un EM par patieso labuma guvēju, līdz ar to atbilstoši tika precizēta likumprojektā esošā likuma 38. pants un 39.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39.panta ceturtās daļas 2.punkts nosaka, ka informācijā par patieso labuma guvēju ietver ziņas par attiecīgo biedrību vai nodibinājumu un tās darbības mērķi. Novēršanas likuma 18.panta otrā daļa nosaka, kāda informācija par patieso labuma guvēju ir iegūstama. Atbilstoši šai tiesību normai informācija iegūstama par fizisko personu, nevis juridiskās personas darbību, tās mērķiem u.tml., turklāt informācija par patieso labuma guvēju Novēršanas likuma mērķu sasniegšanai iegūstama arī par biedrībām un nodibinājumiem (skat: Nodibinājumi PLG.pdf (ljp.lv); https://www.fktk.lv/wp-content/uploads/2021/01/08.01.01.-_33_PLG_NVO.pdf). Lūdzam precizēt piedāvāto Likumprojekta 39.panta ceturtās daļas 2.punktu, paredzot, ka arī biedrību un nodibinājumu gadījumā tiek sniegta informācija par to patiesajiem labuma guvējiem –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aicina sasaukt starpinstitūciju sanāksmi, lai panāktu vienošanos par iebildumos minēto jautājumu saistībā ar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1.pantā Nacionālās drošības likuma (turpmāk – Likums) VI nodaļas nosaukumā izslēgt vārdus “kritiskajai infrastruktūrai un”, jo VI nodaļa attiecas tikai uz nacionālajai drošībai nozīmīgām komercsabiedrībām, biedrībām un nodibinājumiem. Lai arī daļa šo subjektu iegūst statusu sakarā ar kritiskās infrastruktūras atrašanos to īpašumā vai valdījumā, tomēr kritiskās infrastruktūras apdraudējuma novēršanas kārtība ir paredzēta Likuma IV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nodaļa. Apdraudējuma novēršana nacionālajai drošībai nozīmīgām komercsabiedrībām,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2.pantā papildināt Likuma 37.panta ievaddaļu pēc vārda “atrodas” ar vārdiem “A un B kategorijas”, jo šis pants pēc savas būtības attiecas uz nacionālajai drošībai nozīmīgiem subjektiem, kuru īpašumā vai valdījumā ir tikai A un B kategorijas kritiskā infrastruktūra. Minētais atbilst Likuma 22.2 panta septītajai daļai, saskaņā ar ko Ministru kabineta atļauja ir nepieciešama A un B kategorijas kritiskās infrastruktūras nodošanai valdījumā vai īpašumā citai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Nacionālajai drošībai nozīmīgas komercsabiedrības,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noteiktie ierobežojumi attiecas uz Latvijas Republikā reģistrētu komercsabiedrību, biedrību un nodibinājumu, ja tās īpašumā vai valdījumā atrodas </w:t>
            </w:r>
            <w:r w:rsidR="00000000" w:rsidRPr="00000000" w:rsidDel="00000000">
              <w:rPr>
                <w:b w:val="1"/>
                <w:u w:val="single"/>
                <w:rtl w:val="0"/>
              </w:rPr>
              <w:t xml:space="preserve">A un B kategorijas</w:t>
            </w:r>
            <w:r w:rsidR="00000000" w:rsidRPr="00000000" w:rsidDel="00000000">
              <w:rPr>
                <w:rtl w:val="0"/>
              </w:rPr>
              <w:t xml:space="preserve"> kritiskā infrastruktūra, vai tā atbilst vismaz vienam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iebildumu vairs neuztur.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skatīts kontekstā ar C kategorijas kritisko infrastruktūru, kas arī ir kritiska svarīga 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ir ņemts vērā Ekonomikas ministrijas 2021.gada 1.oktobra iebildums par likumprojekta spēkā stāšanās noteikšanu 2023.gada 1.janvārī, tomēr likumprojektā nav norādīts, ka tas stājas spēkā 2023.gada 1.janvārī. Līdz ar to lūdzam likumprojektā noteikt, ka Likuma grozījumi stāsies spēkā 2023.gada 1.janvārī – atbilstoši anotācijā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panākta vienošanās starpministriju sanāksmē, ka likumprojekta spēkā stāšanās paredzēta normatīvajos aktos noteiktajā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Efektīvākais un risku mazinošākais juridiskās personas un juridiskā veidojuma izpētes mehānisms, t.sk. sankciju jomā, ir tā patieso labuma guvēju noskaidrošana, tādēļ Finanšu ministrija par piemērotāko un primāri atbalstāmo juridisko personu un juridisko veidojumu izpētes mehānismu uzskata noziedzīgi iegūtu līdzekļu legalizācijas un terorisma un proliferācijas finansēšanas novēršanas jomā izmantoto pieeju patiesā labuma guvēju noskaidrošanai, proti, līdz fiziskai personai – patiesajam labuma guvējam vai fiziskām personām – izpildinstitūcijas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Noziedzīgi iegūtu līdzekļu legalizācijas un terorisma un proliferācijas finansēšanas novēršanas likuma 18.panta septīto daļu, likuma subjekts, atbilstoši pamatojot un dokumentējot darbības, kas veiktas, lai noskaidrotu patieso labuma guvēju, par juridiskās personas vai juridiska veidojuma patieso labuma guvēju var uzskatīt personu, kura ieņem amatu izpildinstitūcijā šajā juridiskajā personā vai juridiskā veidojumā, ja ir izmantoti visi iespējamie noskaidrošanas līdzekļi un nav iespējams noskaidrot nevienu fizisko personu — patieso labuma guvēju, kā arī izslēgtas šaubas, ka juridiskajai personai vai juridiskam veidojumam ir cits patiesais labuma guvējs. Savukārt likumprojekta “Grozījumi Nacionālās drošības likumā” (turpmāk – Likumprojekts) 39.panta ceturtā daļa paredz citu kārtību gadījumos, kad patieso labuma guvēju nav iespējams noskaidrot, proti, tā vietā sniedzot informāciju par juridisko personu – netiešās ietekmes ieguvēju, kas neatbilst patiesā labuma guvēja definīcijai, jo patiesais labuma guvējs vienmēr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būtisku risku mazinošo pasākumu, kas nodrošina pilnīgu informāciju par personām, kas pieņem lēmumus nacionālajai drošībai nozīmīgas komercsabiedrībās, biedrības un nodibinājumos, lūdzam gadījumos, kad patieso labuma guvēju nav iespējams noskaidrot, likumā noteikt pienākumu noskaidrot personu, kura ieņem amatu izpildinstitūcijā (valdē) juridiskajā personā vai juridiskā veidojumā (likuma 38.panta pirmās daļas 1.punkta (d) apakšpunkts un 2.punkta (b) apakšpunkts, 39.panta pirmās daļas 4.punkta (a) un (b) apakšpunkts, 41.panta pirmā un otrā daļa, 45.panta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Regulas (ES) 2019/452 10.apsvērumu, kas nosaka, ka valstīm būtu jāveic vajadzīgie pasākumi saskaņā ar Savienības tiesību aktiem, lai novērstu to, ka tiek apieti to izvērtēšanas mehānismi un izvērtēšanas lēmumi, t.sk. gadījumos, kad ieguldītājs faktiski pieder kādai fiziskai personai. Atbilstoši Eiropas Savienības tiesību aktiem, juridisko personu un veidojumu izpēte tiek veikta noskaidrojot fizisko personu – patieso labuma guvēju (Direktīvas (ES) 2015/849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lūdz atbilstoši precizēt arī anotāciju, nosakot, ka gadījumos, kad patieso labuma guvēju nav iespējams noskaidrot, noteikt pienākumu noskaidrot personu, kura ieņem amatu izpildinstitūcijā (valdē) juridiskajā personā vai juridiskā veidojumā (likuma 38.panta pirmās daļas 1.punkta (d) apakšpunkts un 2.punkta (b) apakšpunkts, 39.panta pirmās daļas 4.punkta (a) un (b) apakšpunkts, 41.panta pirmā un otrā daļa, 45.panta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38.pantā (likumprojekta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 daļas 1. punkta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akcionāra vai dalībnieka statusa saglabāšana vai tiesību izmantot netiešo līdzdalību saglabāšana, ja mainās patiesais labuma guvējs vai, ja nav iespējams noskaidrot patieso labuma guvēju, par kapitālsabiedrības patieso labuma guvēju var uzskatīt personu, kura ieņem amatu izpildinstitūcijā šajā kapitālsabiedrībā, ja ir izmantoti visi iespējamie noskaidrošanas līdzekļi un nav iespējams noskaidrot nevienu fizisko personu — patieso labuma guvēju, kā arī izslēgtas šaubas, ka kapitālsabiedrībai ir cits patiesais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punkta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biedra statusa saglabāšana, ja mainās patiesais labuma guvējs vai, ja nav iespējams noskaidrot patieso labuma guvēju, par personālsabiedrības un biedrības patieso labuma guvēju var uzskatīt personu, kura ieņem amatu izpildinstitūcijā šajā personālsabiedrībā vai biedrībā, ja ir izmantoti visi iespējamie noskaidrošanas līdzekļi un nav iespējams noskaidrot nevienu fizisko personu — patieso labuma guvēju, kā arī izslēgtas šaubas, ka personālsabiedrībai vai biedrībai ir cits patiesais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39.panta (likumprojekta 4.pants) pirmās daļas 4.punkta "a" un "b"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kapitālsabiedrība - par tās dibinātājiem, dalībniekiem, akcionāriem un personām, kuras izmanto netiešo līdzdalību, kā arī patiesajiem labuma guvējiem  vai, ja nav iespējams noskaidrot patieso labuma guvēju, par kapitālsabiedrības patieso labuma guvēju var uzskatīt personu, kura ieņem amatu izpildinstitūcijā šajā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personālsabiedrība un  biedrība – par tās dibinātājiem un biedriem, kā arī patiesajiem labuma guvējiem  vai, ja nav iespējams noskaidrot patieso labuma guvēju, par kapitālsabiedrības patieso labuma guvēju var uzskatīt personu, kura ieņem amatu izpildinstitūcijā šajā personālsabiedrībā vai 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41.pantā (likumprojekta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Patiesā labuma guvēja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"vai netiešās ietekmes ieguvējs";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"vai ietekmes ieguvēja".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45.panta (likumprojekta 8.pants) trešās daļas pirmajā teikumā vārdus "vai netiešās ietekmes ieguvēja".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VSS 17.02.2022. sēdes protokola #6 3.punktu, kā arī Ekonomikas ministrijas organizētajām sanāksmēm š.g. 22. un 28. februārī, tika panāksta vienošanās starp FM un EM par patieso labuma guvēju, līdz ar to atbilstoši tika precizēta likumprojektā esošā likuma 38. pants un 39.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š.g. 24.septembrī Ministru kabineta sēdē (prot. Nr.63, 1.§) ir atbalstījis prioritāros pasākumus 2022.-2024.gadam, turklāt atzīmējam, ka Ekonomikas ministrija nebija iesniegusi prioritāro pasākumu par nepieciešamo finansējumu likumprojektā paredzēto pasākumu īstenošanai. Ņemot vērā minēto, likumprojektā paredzēto pasākumu īstenošanai nepieciešamais finansējums 2022.gadā un turpmāk ik gadu 61 517 euro apmērā Ekonomikas ministrijai jānodrošina piešķirto valsts budžeta līdzekļu ietvaros, attiecīgi precizējot anotācijas III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anotācijas III sadaļas 7.punktā norādītais par papildu jaunu amata vietu izveidi MIDD nav atbalstāms un likumprojektā paredzēto pasākumu īstenošanai nepieciešamo finansējumu MIDD Aizsardzības ministrijai ir jānodrošina tai piešķirto valsts budžeta līdzekļu ietvaros, nepalielinot kopējo amata vietu skaitu resorā, attiecīgi precizējot anotācijas III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VII sadaļas 2.punktā norādīts, ka nepieciešams lemt par papildu resursu piesaisti un nodrošināšanu valsts drošības iestādēm. Vēršam uzmanību, ka nav atbalstāma likumprojekta tālāka virzība, ja tā īstenošanai nav nodrošināts finansējums, līdz ar to lūdzam precizēt VII sadaļā sniegto informāciju, norādot, ka likumprojektā noteikto normu īstenošanu iesaistītās institūcijas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sākotnējās ietekmes novērtējuma ziņojuma (anotācijas) III.sadaļā ir paredzēta projekta ietekme uz valsts 2022.gada budžetu, kurā ir paredzēti papildus izdevumi Ekonomikas ministrijai . Tā kā visi valsts pārvaldes papildus finansējuma pieprasījumi 2022.gadam ir izskatīti un likumprojekts “Likums “Par valsts budžetu 2022.gadam” ir sagatavots, lūgums precizēt likumprojektu, nosakot tā spēkā stāšanos ar 2023.gada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ir stājusies spēkā Eiropas Parlamenta un Padomes regula (ES) 2021/821 (2021. gada 20. maijs), ar ko izveido Savienības režīmu divējāda lietojuma preču eksporta, starpniecības, tehniskās palīdzības, tranzīta un pārvadājumu kontrolei. Šī regula atceļ likumprojektā minēto Padomes 2009. gada 5. maija regulu (EK) Nr. 428/2009, ar ko izveido Kopienas režīmu divējāda lietojuma preču eksporta, pārvadājumu, starpniecības un tranzīta kontrolei, kā arī tā papildina izņēmuma valstu sarakstu ar Islandi un Lihtenšteinu.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nacionālo drošību apdraudošu vai potenciāli apdraudošu ietekmi konkrētu divejāda lietojuma preču ražotājiem un izstrādātājiem, kas attiecīgās preces eksportē uz trešajām valstīm, tiek paredzēts iekļaut nosacījumu par pēdējo divu  gadu laikā esošiem tādu preču, kas iekļautas 2021. gada 20. maija Eiropas Parlamenta un Padomes regulas (ES) 2021/821 (turpmāk – Regula Nr. 2021/821), ar ko izveido Savienības režīmu divējāda lietojuma preču eksporta, starpniecības, tehniskās palīdzības, tranzīta un pārvadājumu kontrolei (atceļ 2009. gada 5. maija Padomes regulu (EK) Nr. 428/2009, ar ko izveido Kopienas režīmu divējāda lietojuma preču eksporta, pārvadājumu, starpniecības un tranzīta kontrolei) I. pielikumā, ražotājiem un izstrādātājiem, kas divējāda lietojuma preces eksportē uz trešajām valstīm, izņemot ES dalībvalstis, ASV, Kanādu, Austrāliju, Jaunzēlandi, Norvēģiju, Šveici, Japānu, Apvienoto Karalisti, Islandi un Lihtenšteinu, balstoties uz to, ka divējāda lietojuma preces nekontrolē, ja tās eksportē uz minētajām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ar 37. panta 13. apakšpunktu tiek paredzēts noteikt  ierobežojumus komercsabiedrībām, kas ražo vai izstrādā divējāda lietojuma preces, kas iekļautas 2021. gada 20. maija Eiropas Parlamenta un Padomes regulas (ES) 2021/821, ar ko izveido Savienības režīmu divējāda lietojuma preču eksporta, starpniecības, tehniskās palīdzības, tranzīta un pārvadājumu kontrolei I. pielikumā, vai ražo vai izstrādā tādas tehnoloģijas kā mākslīgais intelekts, robotika, viedā un autonomā mobilitāte, kiberdrošība, enerģijas uzglabāšana, kvantu tehnoloģijas, kodoltehnoloģijas, nanotehnoloģijas, biotehnoloģijas, un kuras Ministru kabinets ir noteicis par nacionālajai drošībai nozīmīgām komercsabiedrībām, pamatojoties uz valsts drošības iestāžu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Regulai Nr. 2021/821 ir pielikumi - ar I. pielikumu tiek noteikts, kas ir divējāda lietojuma preces (preču saraksts), uz kurām attiecas Regulas Nr. 2021/821 prasības. II. pielikumā ir “Kopienas vispārējā eksporta atļauja EU001”, kura ir spēkā eksportam uz 10 trešajām valstīm, kuras tad tiek nosauktas 10.apakšpunktā kā izņēmuma valstis.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subjekti (papildinātais Nacionālās drošības likuma 37.panta 10. punkts) - pēdējo divu gadu laikā ir tādu preču, kas iekļautas 2021. gada 20. maija Eiropas Parlamenta un Padomes regulas (ES) 2021/821, ar ko izveido Savienības režīmu divējāda lietojuma preču eksporta, starpniecības, tehniskās palīdzības, tranzīta un pārvadājumu kontrolei I.pielikumā, ražotāji un izstrādātāji, kas šādas divējāda lietojuma preces eksportē uz trešajām valstīm, izņemot Eiropas Savienības dalībvalstis, Amerikas Savienotās Valstis, Kanādu, Austrāliju, Jaunzēlandi, Norvēģiju, Šveici, Japānu, Apvienoto Karalisti, Islandi un Lihtenšteinu.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vērtējumā nebūtu jāgaida nākamais budžeta periods, lai likumprojekts stātos spēkā, un tādējādi nav nepieciešams Anotācijā noteikt likumprojekta spēkā stāšanās datumu. Arī Saeimai ir iespēja, apstiprinot likumprojektu, noteikt tā spēkā stāšanās laiku. Papildus tam vēlamies informēt, ka Ārlietu ministrija neiebilst pret identificētajām nepieciešamajām papildus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skatījumā likumprojektā ir iekļautas virkne valsts noturībai un hibrīdā apdraudējuma risku mazināšanai svarīgas lietas. Likumprojektā minētās datu un tehnoloģiju jomas jau kādu laiku ir identificētas kā svarīgas valsts noturības stiprināšanai pret hibrīddraudiem, kā arī Latvijas interesēs nav jauno tehnoloģiju aizplūšana no Latvijas un citām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ir normas, lai novērstu politiski motivētu aizdevumu jeb ‘</w:t>
            </w:r>
            <w:r w:rsidR="00000000" w:rsidRPr="00000000" w:rsidDel="00000000">
              <w:rPr>
                <w:i w:val="1"/>
                <w:rtl w:val="0"/>
              </w:rPr>
              <w:t xml:space="preserve">predatory investment</w:t>
            </w:r>
            <w:r w:rsidR="00000000" w:rsidRPr="00000000" w:rsidDel="00000000">
              <w:rPr>
                <w:rtl w:val="0"/>
              </w:rPr>
              <w:t xml:space="preserve">’ saņemšanu un, vērtējot šībrīža krīzi Latvijas veselības nozarē, tā varētu atsaukties arī uz Latvijas ekonomisko stāvokli kopumā un Latvijas uzņēmumu atvērtību ārvalstu investīcijām, tādējādi palielinot riskus nacionālajai drošībai nozīmīgās uzņēmējdarbības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Ārlietu ministrija uzskata, ka likumprojekta spēkā stāšanās nav jāsaista ar nākamo budžeta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Anotācijas 1. lapaspusē Tiesību akta projekta anotācijas kopsavilkuma sadaļā pēdējo teikumu "Likumprojekts stāsies spēkā 2023. gada 1. janvārī.", kā arī veikt citus nepieciešamos labojumus anotācijā, ņemot vērā šo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likumprojekts var tikt virzīts izskatīšanai Ministru kabinetā tikai tad, ja tajā paredzēto pasākumu īstenošanai nepieciešamais finansējums Ekonomikas ministrijai 2023.gadā un turpmāk ik gadu 61 517 euro apmērā tiks nodrošināts piešķirto valsts budžeta līdzekļu ietvaros, vai arī pēc tam, kad 2023.gada valsts budžeta sagatavošanas procesā Ministru kabinetā tiktu atbalstīta papildu finansējuma piešķiršana Ekonomikas ministrijai nepieciešamajā apmērā, atbilstošus precizējumus veicot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3.sadaļas 6.punktā ir norādīts, ka vienas jaunas amata vietas izveides izdevumi ir 44 154 euro un vienas amata vietas pārveidei izdevumi ir 17 897 euro, kas kopā veido papildu nepaciešamo finansējumu Ekonomikas ministrijai 62 051 euro. Attiecīgi lūdzam novērst minēto nesakritību.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VV 17.02.2022. sēdes protokola #6 4. punktu, tika precizēta likumprojekta anotācija un protokollēmuma projekts par nepieciešamo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likumprojekts var tikt virzīts izskatīšanai Ministru kabinetā tikai tad, ja tajā paredzēto pasākumu īstenošanai nepieciešamais finansējums valsts drošības iestādēm 2023.gadā un turpmākajos gados tiks nodrošināts tām piešķirto valsts budžeta līdzekļu ietvaros, vai arī pēc tam, kad 2023.gada valsts budžeta sagatavošanas procesā Ministru kabinetā tiktu atbalstīta papildu finansējuma piešķiršana valsts drošības iestādēm nepieciešamajā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Aizsardzības ministrijas budžeta izdevumi 2022., 2023. un 2024.gadā tiek plānoti vismaz 2% apmērā no iekšzemes kopprodukta, līdz ar to uzskatām, ka šī likumprojekta īstenošanu Aizsardzības ministrijai būtu jānodrošina tai piešķirto valsts budžeta līdzekļu ietvaros un attiecīgi jāprecizē anotācijas III sadaļas 7.punkts, svītrojot 3.rindkopu.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likumprojektu virzība, ja nav nodrošināts finansējums tā īstenošanai, līdz ar to lūdzam pārskatīt likumprojektā ietvertās normas, kuras iespējams īstenot valsts drošības iestādēm piešķirto valsts budžeta līdzekļu ietvaros un attiecīgi precizēt anotācijas I sadaļas 2.punktā (10.lpp.) norādīto informāciju par valsts drošības iestādēm. Attiecīgi lūdzam precizēt anotācijas III sadaļas 8.punktu, norādot, ka likumprojekta īstenošanu 2022. gadā un turpmākajos gados valsts drošības iestādes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VV 17.02.2022. sēdes protokola #6 4. punktu, tika precizēta likumprojekta anotācija un protokollēmuma projekts, norādot, ka nepieciešamais finansējums 2022. gadā likumprojektā paredzēto pasākumu īstenošanai tiks nodrošināts Ekonomikas ministrijai un valsts drošības iestādēm piešķirto budžeta līdzekļu ietvaros, pārskatot izdevumus, savukārt jautājums par papildu finansējuma piešķiršanu 2023. gadam un turpmākajiem gadiem Ekonomikas ministrijai un valsts drošības iestādēm (attiecīgajām ministrijām) likumprojektā paredzēto pasākumu īstenošanai ir skatāms Ministru kabinetā likumprojekta “Par valsts budžetu 2023. gadam” un likumprojekta “Par vidēja termiņa budžeta ietvaru 2023., 2024. un 2025.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3.sadaļā ir sniegta informācija par Ekonomikas ministrijai papildu nepieciešamo finansējumu likumprojekta normu izpildei, savukārt nav norādīts, kā ir paredzēts risināt jautājumu par minētā finansējuma piešķiršanu. Norādām, ka nav atbalstāma tādu likumprojektu virzība, kam nav nodrošināts finansējums, turklāt likums “Par valsts budžetu 2022.gadam” ir pieņemts, visi pieejamie resursi ir sadalīti un papildu finansējuma piešķiršana 2022.gadam nav iespējama. Līdz ar to uzskatām, ka Ekonomikas ministrijai nepieciešamais finansējums 2022.gadā un turpmākajos gados jānodrošina piešķirto valsts budžeta līdzekļu ietvaros, attiecīgi aizpildot anotācijas 3. sadaļas 4.punktu un 8.punktā sniedzot informāciju, ka nepieciešamais finansējums tiks nodrošināts likumā ”Par valsts budžetu 2022.gadam” un likumā “Par vidēja termiņa ietvaru 2022., 2023. un 2024. gadam” Ekonomikas ministrijai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jāprecizē 3.sadaļas 2.punktā norādītais finansējuma apmērs 2023., 2024. un 2025.gadam, ņemot vērā, ka atbilstoši 6.punktā sniegtajam aprēķinam kopējais finansējuma apmērs sanāk 62 051 euro (jaunajai amata vietai 44 154 euro un pārveidotajai amata vietai 17 897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VV 17.02.2022. sēdes protokola #6 4. punktu, tika precizēta likumprojekta anotācija un protokollēmuma projekts par nepieciešamo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sadaļu, novēršot pretrunas anotācijas III. sadaļas 6.punktā, 7.punktā un 8.punktā attiecībā uz papildu nepieciešamajām amata vietām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sadaļas 6.punktā iekļauto papildu finansējuma aprēķinu Ekonomikas ministrijai 1.amata vietai (restrukturētajai, atbilstoši anotācijas III. sadaļas 7. punktā minētajam), norādot korektu 21. amatu saimes līmeni 15.mēnešalgu grupai, kā arī precizējot papildu finansējuma aprēķinu, izmantojot aktuālo darba devēja VSAOI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sadaļā VI. Sabiedrības līdzdalība un komunikācijas aktivitātes teikts: "Pēc Noteikumu projekta izsludināšanas Valsts sekretāru sanāksmē tas būs pieejams Ministru kabineta tīmekļa vietnē www.mk.gov.lv." Lūdzam šo teikumu labot un norādīt, ka projekts ir pieejams Tiesību aktu projektu publiskajā portālā https://tapportals.mk.gov.lv.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Nacionālās drošības likuma 39.panta pirmās daļas 3.punkta redakcijā lūdzam svītrot vārdu "(balsstiesības)", tā kā likumprojektā kopumā šis termins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attiecīgās kapitālsabiedrības, dalībniekus vai akcionārus un personas, kuras izmanto netiešo līdzdalību, vai personālsabiedrības un biedrības biedrus par tās atbilstību nacionālajai drošībai nozīmīgas komercsabiedrības vai biedrības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Nacionālās drošības likuma 44.panta pirmās daļas redakcijā jāmaina atsauce uz 39.panta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22.2 panta septītajā daļā, 39.panta piektajā daļā, 40. panta pirmajā daļā, 41. panta trešajā daļā, 42. panta pirmajā daļā un 42.1 pantā minētajos gadījumos Ministru kabineta lēmums tiek pieņemts mēneša laikā no pieteikuma saņemšanas dienas. Šo termiņu šā likuma 39. panta piektajā daļā noteiktā institūcija var pagarināt līdz četriem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savas kompetences ietvaros ir izskatījis Aizsardzības ministrijas izstrādāto likumprojektu "Grozījumi Nacionālās drošības likumā" (turpmāk – likumprojekts), tā sākotnējās ietekmes novērtējuma ziņojumu (anotāciju), Ministru kabineta sēdes protokollēmuma projektu un izziņu par atzinumos sniegtajiem iebildumiem, un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lūdzam precizēt likumprojekta 5.pantu, kas papildina Nacionālās drošības likuma 43.pantu ar jaunu 6.punktu. Patlaban piedāvātā likumprojekta redakcija nav īsti skaidra -  Ministru kabineta atļauja nav nepieciešama, ja aizdevumu, kuru saņem publiska vai publiski privātā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39.panta otrajā punktā lūdzam aizstāt vārdu "mājaslapa" ar "tīmekļvietne".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Uzņēmumu reģistrs informāciju par komercsabiedrības, biedrības vai nodibinājuma atbilstību nacionālajai drošībai nozīmīgas komercsabiedrības, biedrības vai nodibinājuma nosacījumiem publicē Uzņēmumu reģistra tīmekļvietnē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izsakot jaunā redakcijā Likuma 38., 39., 40. un 41.pantu, nelietot pēdiņas starp secīgo pantu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8.pantu pārvietot uz likumprojekta sākumu (kā likumprojekta 1.punktu), jo grozījumu likumprojekta normas raksta atbilstoši grozāmā likuma vienību secībai, savukārt Likuma normu secībā 10.panta pirmās daļas 9.punkts atrodas pirms pārējām grozāmajām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rtl w:val="0"/>
              </w:rPr>
              <w:t xml:space="preserve"> Papildināt likuma 10. panta pirmās daļas 9. punktu  aiz “nacionālajai drošībai nozīmīgās komercsabiedrībās” ar vārdiem “un biedrībās”.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Nacionālās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37. pantā iecerētie grozījumi paredz, ka biedrības un nodibinājumi, kuri atbilst vismaz vienam no 37. pantā minētajiem nosacījumiem, ir nacionālajai drošībai nozīmīgas organizācijas un uz tām attiecināmi likumā noteiktie pienākumi un ierobežojumi. Viens no nosacījumiem ir:   11) kam ir piekļuve vēlētāju personu datiem, kā arī tiem deputātu kandidātu personas datiem, kuri nav publicējami 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minēts, ka likumprojekta mērķis ir pasargāt nacionālai drošībai svarīgus datus, kuriem ir daudzkārtējā ar normatīviem aktiem pamatota trešo pušu tiešā piekļuve (nevis vienreizējs pieprasījums) datu bāzēm.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Neiebilstot pret šāda nosacījuma virzīšanu, mūsu ieskatā, būtu svarīgi, lai ikvienai biedrībai un nodibinājumam būtu nepārprotami skaidrs, ar kādu regularitāti un kādā apjomā iegūstot šos datus, tām piemērotu nacionālajai drošībai nozīmīgas organizācijas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Valsts kanceleja saskārusies ar piemēru, kad nodibinājums "Sabiedrības Līdzdalības Fonds" (ManaBalss.lv) lūdz bezmaksas pieeju PMLP Iedzīvotāju reģistra datiem, lai sīkāk analizētu balsotājus tā izveidotajā platformā ParvaiPret.lv. Nodibinājums kā galveno mērķi norādīja - automātiski analizēt datus par konkrētu iedzīvotāju grupu attieksmi (nodibinājuma vēstule Valsts kancelejai 18.12.2020.). Šī bija viena no tēmām Valsts kancelejas 09.03.2021. rīkotajā diskusijā par digitālās demokrātijas attīstību. Skatīt: https://www.mk.gov.lv/lv/valsts-kanceleja-aicina-piedalities-diskusija-par-digitalas-demokratijas-attistibu.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20.maija grozījumiem Nacionālās drošības likumā, kas stājās spēkā 2021.gada 15.jūnijā, 37.pants tika papildināts ar 7. un 8.punktu, lūdzam precizēt anotācijā norādīto informāciju par to, ka šobrīd ir 35 komercsabiedrības, kas atbilst 37.pantā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Nacionālās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 (turpmāk – PKC) ir izskatījis Aizsardzības ministrijas precizēto likumprojektu “Grozījumi Nacionālās drošības likumā" (VSS-289) (turpmāk – Likumprojekts) un tam pievienoto sākotnējās ietekmes novērtējuma ziņojumu (anotāciju) un atbalsta tā tālāku virzību, uzturot un izvēršot iepriekš izteikto priekšlikumu par papildu paskaidrojumu sniegšanu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paredzēts papildināt Nacionālās drošības likumu (turpmāk – Likums) ar 42.1 pantu, kurā paredzēta nepieciešamība saņemt Ministru kabineta atļauju tādam aizdevumam nacionālajai drošībai nozīmīgai komercsabiedrībai, biedrībai vai nodibinājumam, kura kopējā summa pārsniedz 10% no aktīviem un, kuri tiek saņemti no fiziskas vai juridiskas personas, kuras patiesais labuma guvējs ir trešajā valstī, izņemot Eiropas Savienības, Eiropas Brīvās tirdzniecības asociācijas, Ziemeļatlantijas līguma organizācijas vai Ekonomiskās sadarbības un attīstības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papildināt Likumu ar 43.panta sesto daļu, nosakot, ka Ministru kabineta atļauja nav nepieciešama, ja “6) aizdevumu saņem publiskas personas kapitālsabiedrība vai publiski privātā kapitālsabiedrība,” anotācijā skaidrojot, ka Likuma 43.panta 6.punkts iekļauts, jo  ir “būtiski noteikt, ka 42.1 panta pirmās daļas nosacījumi nav attiecināmi uz valstiski svarīgu tautsaimniecības objektu akciju sabiedrībām, kurām piederošie infrastruktūras objekti saskaņā ar normatīvo aktu prasībām nav atsavināmi vai izmantojami kā ķīla kredītu vai citu saistību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8.oktobra atzinumā PKC izteica ierosinājumu papildināt anotāciju ar skaidrojumu, kāpēc ir būtiski noteikt izņēmumu no aizdevumu saskaņošanas kārtības valstiski svarīgu tautsaimniecības objektu akciju sabiedrībām, kurām piederošie infrastruktūras objekti saskaņā ar normatīvo aktu prasībām nav atsavināmi vai izmantojami kā ķīla kredītu   vai   citu   saistību   nodrošināšanai, kā arī lūdza precizēt likumprojekta redakciju atbilstoši Publiskas personas kapitāla daļu un kapitālsabiedrību pārvaldības likumā izmantotajai terminoloģijai, proti “publiskas personas kapitālsabiedrība vai publiski privātā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anotācijā nav atrodams skaidrojums attiecībā uz izņēmuma nepieciešamību publiskas personas kapitālsabiedrībām un publiski privātām kapitālsabiedrībām kopumā, vienlaikus anotācijā tiek minēta norāde, ka izņēmums nepieciešams tikai publisku personu akciju sabiedrībām, kurām piederošie infrastruktūras objekti saskaņā ar normatīvo aktu prasībām nav atsavināmi vai izmantojami kā ķīla kredītu vai citu saistību nodrošināšanai. Līdz ar minēto, veidojas pretruna starp anotācijā norādīto un Likumprojektā ierosinātās normas tvērumu, un nav iespējams pēc būtības izvērtēt ierosināto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atbilstoši likuma “Publisku personu kapitāla daļu un kapitālsabiedrību pārvaldības likuma” (turpmāk - Kapitālsabiedrību pārvaldības likums) regulējumam, kapitālsabiedrības, kurās ir publiskas personas līdzdalība, pēc kapitāla īpašnieku struktūras pazīmēm iedala trīs grupās - publiskās personas kapitālsabiedrībās (kur kapitāla daļas/akcijas pieder vienai publiskais personai), publiski privātās kapitālsabiedrībās (kur kapitāla daļas/akcijas pieder vairākām publiskām personām) un privātās kapitālsabiedrībās (kur kapitāla daļas/akcijas pieder publiskai personai un citai personai). Privātās kapitālsabiedrības (Kapitālsabiedrību pārvaldības likuma jēdziena tvērumā) var atrasties publiskās personas kontrolē, līdz ar ko to pārvaldību arī regulē Kapitālsabiedrību pārvaldības likums (piemēram, Air Baltic Corporation AS). Lai arī ārējos normatīvos aktos ir noteiktas publiskas personas kapitālsabiedrības, kuru aktīvi vai kapitāla daļas nav atsavināmas, tomēr ne visām kapitālsabiedrībām, kuru kapitālu pilnībā vai daļā veido publiskais kapitāls, ir šāds atsavināšanas aizliegums. Pie tam, neatkarīgi no kapitālsabiedrības formas (akciju sabiedrība vai sabiedrība ar ierobežotu atbildību) un no publiskās personas kontroles apjoma, ir saskatāma iespēja, ka tās vai to meitas sabiedrības varētu atbilst Nacionālās drošības likuma 37.pantā norādītajam subjektu lokam, un būt pakļautas Likuma regulējuma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minēto, lūdzam paplašināt anotācijā sniegto skaidrojumu, izvēršot izņēmuma piemērošanas apsvērumus (to atšķirību) attiecībā uz publisku personu akciju sabiedrībām un sabiedrībām ar ierobežotu atbildību (ja tāda ir paredzēta), un kapitālsabiedrību grupām ar atšķirīgu publisku personu līdzdalības apjomu, kā arī salāgot anotācijā norādīto (ka izņēmums attiecināms uz neatsavināmām akciju sabiedrībām) ar Likumprojekta 6.punktā paredzēto Likuma 43.panta 6.punkta redakciju, kas šobrīd paredz izņēmumu attiecināt uz pilnīgi visām (arī atsavināmām) publisku personu kapitālsabiedrībām un publiski privātām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iepriekš skaidrotajam, norādām, ka kapitālsabiedrībām ir pieejami dažādi finanšu instrumenti, kas varētu tikt iekļauti terminā “aizdevums”. Tādēļ lūdzam iekļaut arī skaidrojumu, vai Likuma 42.1.panta tvērums attiecināms arī uz tādu finansējuma instrumentu kā aizņemšanās kapitāla tirgos (piemēram, izlaižot obligācijas), kas var pārsniegt 10% no kapitālsabiedrības aktīviem, kur obligāciju emisijas procesā kapitālsabiedrībai nav zināms, kas būs tās obligāciju iegādātājs. Bez attiecīga skaidrojuma Projektā paredzētie Likuma 42.1.panta noteikumi obligāciju emisijas gadījumā ir sarežģīti interpretējami un piemērojami. Tāpat arī var būt neskaidrības, gadījumos, ja aizdevējs ir biržā kotēts uzņēmums un informāciju ir iespējams saņemt tikai par akcionāriem, kuriem ir būtiska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atsevišķas kapitālsabiedrības, kurās ir publiskas personas līdzdalība, regulāri apsver jautājumu par dažādu finanšu instrumentu piesaisti, t.sk. obligāciju emisiju, lūdzam anotācijā skaidrot, kā paredzētais regulējums piemērojams dažādu finanšu instrumentu izmantošanā, t.sk. obligāciju emisijas gadījumā, vai papildināt Likumprojektu ar attiecīgu konkrētāku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izdarīt precizējumu Likumprojekta 6.punktā paredzētajā Nacionālās drošības likuma 43.panta 6.punkta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21-TA-384</w:t>
    </w:r>
    <w:r>
      <w:br/>
    </w:r>
    <w:r w:rsidR="00000000" w:rsidRPr="00000000" w:rsidDel="00000000">
      <w:rPr>
        <w:rtl w:val="0"/>
      </w:rPr>
      <w:t xml:space="preserve">16.05.2022. 21.13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21-TA-384</w:t>
    </w:r>
    <w:r>
      <w:br/>
    </w:r>
    <w:r w:rsidR="00000000" w:rsidRPr="00000000" w:rsidDel="00000000">
      <w:rPr>
        <w:rtl w:val="0"/>
      </w:rPr>
      <w:t xml:space="preserve">16.05.2022. 21.13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Izziņa_21-TA-384.docx</dc:title>
</cp:coreProperties>
</file>

<file path=docProps/custom.xml><?xml version="1.0" encoding="utf-8"?>
<Properties xmlns="http://schemas.openxmlformats.org/officeDocument/2006/custom-properties" xmlns:vt="http://schemas.openxmlformats.org/officeDocument/2006/docPropsVTypes"/>
</file>