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84759" w14:textId="77777777" w:rsidR="00424639" w:rsidRPr="00704049" w:rsidRDefault="00424639" w:rsidP="00424639">
      <w:pPr>
        <w:rPr>
          <w:b/>
          <w:i/>
          <w:szCs w:val="24"/>
        </w:rPr>
      </w:pPr>
      <w:r w:rsidRPr="00704049">
        <w:rPr>
          <w:sz w:val="26"/>
          <w:szCs w:val="26"/>
        </w:rPr>
        <w:t>Budžeta un finanšu (nodokļu) komisija</w:t>
      </w:r>
      <w:r w:rsidRPr="00704049">
        <w:rPr>
          <w:sz w:val="26"/>
          <w:szCs w:val="26"/>
        </w:rPr>
        <w:tab/>
      </w:r>
    </w:p>
    <w:p w14:paraId="4FA618AF" w14:textId="77777777" w:rsidR="00424639" w:rsidRPr="00704049" w:rsidRDefault="00424639" w:rsidP="00424639">
      <w:pPr>
        <w:jc w:val="right"/>
        <w:rPr>
          <w:sz w:val="26"/>
          <w:szCs w:val="26"/>
        </w:rPr>
      </w:pPr>
      <w:r w:rsidRPr="00704049">
        <w:rPr>
          <w:sz w:val="26"/>
          <w:szCs w:val="26"/>
        </w:rPr>
        <w:t xml:space="preserve">Likumprojekts </w:t>
      </w:r>
      <w:r w:rsidR="000C78D8" w:rsidRPr="00704049">
        <w:rPr>
          <w:sz w:val="26"/>
          <w:szCs w:val="26"/>
        </w:rPr>
        <w:t xml:space="preserve"> (steidzams)</w:t>
      </w:r>
      <w:r w:rsidRPr="00704049">
        <w:rPr>
          <w:sz w:val="26"/>
          <w:szCs w:val="26"/>
        </w:rPr>
        <w:t>otrajam lasījumam</w:t>
      </w:r>
    </w:p>
    <w:p w14:paraId="320DC9B1" w14:textId="77777777" w:rsidR="00424639" w:rsidRPr="00704049" w:rsidRDefault="00424639" w:rsidP="00424639">
      <w:pPr>
        <w:pStyle w:val="naisvisr"/>
        <w:spacing w:before="0" w:beforeAutospacing="0" w:after="0" w:afterAutospacing="0"/>
        <w:jc w:val="center"/>
        <w:rPr>
          <w:b/>
          <w:sz w:val="26"/>
          <w:szCs w:val="26"/>
        </w:rPr>
      </w:pPr>
    </w:p>
    <w:p w14:paraId="55FF5627" w14:textId="77777777" w:rsidR="00424639" w:rsidRPr="00704049" w:rsidRDefault="00424639" w:rsidP="00424639">
      <w:pPr>
        <w:pStyle w:val="paragraphheader"/>
        <w:spacing w:before="0" w:after="0"/>
        <w:contextualSpacing w:val="0"/>
        <w:jc w:val="center"/>
        <w:rPr>
          <w:b/>
          <w:color w:val="auto"/>
        </w:rPr>
      </w:pPr>
      <w:r w:rsidRPr="00704049">
        <w:rPr>
          <w:b/>
          <w:color w:val="auto"/>
        </w:rPr>
        <w:t>Grozījums likumā “Par valsts pensijām”</w:t>
      </w:r>
    </w:p>
    <w:p w14:paraId="3F99019E" w14:textId="77777777" w:rsidR="00424639" w:rsidRPr="00704049" w:rsidRDefault="00424639" w:rsidP="00424639">
      <w:pPr>
        <w:jc w:val="center"/>
        <w:rPr>
          <w:rStyle w:val="Emphasis"/>
          <w:b/>
          <w:sz w:val="26"/>
          <w:szCs w:val="26"/>
        </w:rPr>
      </w:pPr>
      <w:bookmarkStart w:id="0" w:name="_Hlk151466384"/>
      <w:r w:rsidRPr="00704049">
        <w:rPr>
          <w:rFonts w:eastAsia="Times New Roman"/>
          <w:b/>
          <w:i/>
          <w:iCs/>
          <w:sz w:val="26"/>
          <w:szCs w:val="26"/>
          <w:lang w:eastAsia="lv-LV"/>
        </w:rPr>
        <w:t xml:space="preserve"> </w:t>
      </w:r>
      <w:r w:rsidRPr="00704049">
        <w:rPr>
          <w:rStyle w:val="Emphasis"/>
          <w:b/>
          <w:sz w:val="26"/>
          <w:szCs w:val="26"/>
        </w:rPr>
        <w:t>(Nr.407/Lp14)</w:t>
      </w:r>
    </w:p>
    <w:bookmarkEnd w:id="0"/>
    <w:p w14:paraId="6BDFD001" w14:textId="77777777" w:rsidR="00424639" w:rsidRPr="00704049" w:rsidRDefault="00424639" w:rsidP="00424639">
      <w:pPr>
        <w:jc w:val="center"/>
        <w:rPr>
          <w:rStyle w:val="Emphasis"/>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3685"/>
        <w:gridCol w:w="567"/>
        <w:gridCol w:w="3685"/>
        <w:gridCol w:w="1417"/>
        <w:gridCol w:w="1417"/>
      </w:tblGrid>
      <w:tr w:rsidR="00704049" w:rsidRPr="00704049" w14:paraId="31E3904F" w14:textId="77777777" w:rsidTr="00424639">
        <w:tc>
          <w:tcPr>
            <w:tcW w:w="3685" w:type="dxa"/>
            <w:shd w:val="clear" w:color="auto" w:fill="auto"/>
            <w:vAlign w:val="center"/>
          </w:tcPr>
          <w:p w14:paraId="043BACC1" w14:textId="77777777" w:rsidR="00424639" w:rsidRPr="00704049" w:rsidRDefault="00424639" w:rsidP="00691A94">
            <w:pPr>
              <w:jc w:val="center"/>
              <w:rPr>
                <w:b/>
                <w:bCs/>
                <w:iCs/>
                <w:szCs w:val="24"/>
              </w:rPr>
            </w:pPr>
            <w:bookmarkStart w:id="1" w:name="_Hlk151466901"/>
            <w:r w:rsidRPr="00704049">
              <w:rPr>
                <w:b/>
                <w:bCs/>
                <w:iCs/>
                <w:szCs w:val="24"/>
              </w:rPr>
              <w:t>Spēkā esošā redakcija</w:t>
            </w:r>
          </w:p>
        </w:tc>
        <w:tc>
          <w:tcPr>
            <w:tcW w:w="3685" w:type="dxa"/>
            <w:shd w:val="clear" w:color="auto" w:fill="auto"/>
            <w:vAlign w:val="center"/>
          </w:tcPr>
          <w:p w14:paraId="005F1B4B" w14:textId="77777777" w:rsidR="00424639" w:rsidRPr="00704049" w:rsidRDefault="00424639" w:rsidP="00691A94">
            <w:pPr>
              <w:jc w:val="center"/>
              <w:rPr>
                <w:b/>
                <w:szCs w:val="24"/>
              </w:rPr>
            </w:pPr>
            <w:r w:rsidRPr="00704049">
              <w:rPr>
                <w:b/>
                <w:szCs w:val="24"/>
              </w:rPr>
              <w:t>Pirmā lasījuma redakcija</w:t>
            </w:r>
          </w:p>
        </w:tc>
        <w:tc>
          <w:tcPr>
            <w:tcW w:w="567" w:type="dxa"/>
            <w:vAlign w:val="center"/>
          </w:tcPr>
          <w:p w14:paraId="5BA6C20B" w14:textId="77777777" w:rsidR="00424639" w:rsidRPr="00704049" w:rsidRDefault="00424639" w:rsidP="00424639">
            <w:pPr>
              <w:jc w:val="center"/>
              <w:rPr>
                <w:b/>
                <w:szCs w:val="24"/>
              </w:rPr>
            </w:pPr>
            <w:r w:rsidRPr="00704049">
              <w:rPr>
                <w:b/>
                <w:szCs w:val="24"/>
              </w:rPr>
              <w:t>Nr.</w:t>
            </w:r>
          </w:p>
        </w:tc>
        <w:tc>
          <w:tcPr>
            <w:tcW w:w="3685" w:type="dxa"/>
            <w:vAlign w:val="center"/>
          </w:tcPr>
          <w:p w14:paraId="276F09E0" w14:textId="77777777" w:rsidR="00424639" w:rsidRPr="00704049" w:rsidRDefault="00424639" w:rsidP="00424639">
            <w:pPr>
              <w:jc w:val="center"/>
              <w:rPr>
                <w:b/>
                <w:szCs w:val="24"/>
              </w:rPr>
            </w:pPr>
            <w:r w:rsidRPr="00704049">
              <w:rPr>
                <w:b/>
                <w:szCs w:val="24"/>
              </w:rPr>
              <w:t>Priekšlikumi</w:t>
            </w:r>
          </w:p>
          <w:p w14:paraId="69DA8B1F" w14:textId="77777777" w:rsidR="00424639" w:rsidRPr="00704049" w:rsidRDefault="00424639" w:rsidP="00DA6377">
            <w:pPr>
              <w:jc w:val="center"/>
              <w:rPr>
                <w:b/>
                <w:szCs w:val="24"/>
              </w:rPr>
            </w:pPr>
            <w:r w:rsidRPr="00704049">
              <w:rPr>
                <w:b/>
                <w:szCs w:val="24"/>
              </w:rPr>
              <w:t>(</w:t>
            </w:r>
            <w:r w:rsidR="00DA6377">
              <w:rPr>
                <w:b/>
                <w:szCs w:val="24"/>
              </w:rPr>
              <w:t>2</w:t>
            </w:r>
            <w:r w:rsidRPr="00704049">
              <w:rPr>
                <w:b/>
                <w:szCs w:val="24"/>
              </w:rPr>
              <w:t>)</w:t>
            </w:r>
          </w:p>
        </w:tc>
        <w:tc>
          <w:tcPr>
            <w:tcW w:w="1417" w:type="dxa"/>
            <w:vAlign w:val="center"/>
          </w:tcPr>
          <w:p w14:paraId="00181FAC" w14:textId="77777777" w:rsidR="00424639" w:rsidRPr="00704049" w:rsidRDefault="00424639" w:rsidP="00424639">
            <w:pPr>
              <w:jc w:val="center"/>
              <w:rPr>
                <w:b/>
                <w:szCs w:val="24"/>
              </w:rPr>
            </w:pPr>
            <w:r w:rsidRPr="00704049">
              <w:rPr>
                <w:b/>
                <w:szCs w:val="24"/>
              </w:rPr>
              <w:t>Ministru kabineta atzinums</w:t>
            </w:r>
          </w:p>
        </w:tc>
        <w:tc>
          <w:tcPr>
            <w:tcW w:w="1417" w:type="dxa"/>
            <w:vAlign w:val="center"/>
          </w:tcPr>
          <w:p w14:paraId="3883C32E" w14:textId="77777777" w:rsidR="00424639" w:rsidRPr="00704049" w:rsidRDefault="00424639" w:rsidP="00424639">
            <w:pPr>
              <w:jc w:val="center"/>
              <w:rPr>
                <w:b/>
                <w:szCs w:val="24"/>
              </w:rPr>
            </w:pPr>
            <w:r w:rsidRPr="00704049">
              <w:rPr>
                <w:b/>
                <w:szCs w:val="24"/>
              </w:rPr>
              <w:t>Komisijas atzinums</w:t>
            </w:r>
          </w:p>
        </w:tc>
      </w:tr>
      <w:tr w:rsidR="00704049" w:rsidRPr="00704049" w14:paraId="4F694FF2" w14:textId="77777777" w:rsidTr="00424639">
        <w:tc>
          <w:tcPr>
            <w:tcW w:w="3685" w:type="dxa"/>
            <w:shd w:val="clear" w:color="auto" w:fill="auto"/>
          </w:tcPr>
          <w:p w14:paraId="0223EA97" w14:textId="77777777" w:rsidR="00424639" w:rsidRPr="00704049" w:rsidRDefault="00424639" w:rsidP="00691A94">
            <w:pPr>
              <w:ind w:firstLine="567"/>
              <w:jc w:val="both"/>
              <w:rPr>
                <w:bCs/>
                <w:iCs/>
                <w:sz w:val="22"/>
              </w:rPr>
            </w:pPr>
          </w:p>
        </w:tc>
        <w:tc>
          <w:tcPr>
            <w:tcW w:w="3685" w:type="dxa"/>
            <w:shd w:val="clear" w:color="auto" w:fill="auto"/>
          </w:tcPr>
          <w:p w14:paraId="36EB45B3" w14:textId="77777777" w:rsidR="00424639" w:rsidRPr="00704049" w:rsidRDefault="00424639" w:rsidP="00691A94">
            <w:pPr>
              <w:pStyle w:val="paragraph"/>
              <w:contextualSpacing w:val="0"/>
              <w:rPr>
                <w:color w:val="auto"/>
                <w:sz w:val="22"/>
                <w:szCs w:val="22"/>
              </w:rPr>
            </w:pPr>
            <w:r w:rsidRPr="00704049">
              <w:rPr>
                <w:color w:val="auto"/>
                <w:sz w:val="22"/>
                <w:szCs w:val="22"/>
              </w:rPr>
              <w:t>Izdarīt likumā "Par valsts pensijām" (Latvijas Republikas Saeimas un Ministru Kabineta Ziņotājs, Latvijas Vēstnesis, 1996, 1., 24. nr.; 1997, 3., 13. nr.; 1998, 1., 24. nr.; 1999, 11., 23. nr.; 2002, 2. nr.; 2004, 6. nr.; 2005, 13., 24. nr.; 2006, 24. nr.; 2007, 24. nr.; 2008, 7., 10., 14. nr.; 2009, 8., 15. nr.; Latvijas Vēstnesis, 2009, 199. nr.; 2010, 16., 205. nr.; 2011, 202. nr.; 2012, 104. nr.; 2013, 112., 137., 194. nr.; 2014, 75. nr.; 2015, 122. nr.; 2016, 57., 241. nr.; 2017, 128. nr.; 2018, 87., 196. nr.; 2019, 240. nr.; 2020, 240.A, 250. nr.; 2022, 137.A nr.; 2023, 57.A, 75., 116.A nr.) šādu grozījumu:</w:t>
            </w:r>
          </w:p>
        </w:tc>
        <w:tc>
          <w:tcPr>
            <w:tcW w:w="567" w:type="dxa"/>
          </w:tcPr>
          <w:p w14:paraId="7ADDA943" w14:textId="77777777" w:rsidR="00424639" w:rsidRPr="00DA6377" w:rsidRDefault="00DA6377" w:rsidP="00DA6377">
            <w:pPr>
              <w:pStyle w:val="paragraph"/>
              <w:ind w:firstLine="0"/>
              <w:contextualSpacing w:val="0"/>
              <w:jc w:val="center"/>
              <w:rPr>
                <w:b/>
                <w:color w:val="auto"/>
                <w:sz w:val="22"/>
                <w:szCs w:val="22"/>
              </w:rPr>
            </w:pPr>
            <w:r w:rsidRPr="00DA6377">
              <w:rPr>
                <w:b/>
                <w:color w:val="auto"/>
                <w:sz w:val="22"/>
                <w:szCs w:val="22"/>
              </w:rPr>
              <w:t>1</w:t>
            </w:r>
          </w:p>
        </w:tc>
        <w:tc>
          <w:tcPr>
            <w:tcW w:w="3685" w:type="dxa"/>
          </w:tcPr>
          <w:p w14:paraId="24B359E4" w14:textId="77777777" w:rsidR="00424639" w:rsidRPr="00DA6377" w:rsidRDefault="00880588" w:rsidP="00880588">
            <w:pPr>
              <w:pStyle w:val="paragraph"/>
              <w:ind w:firstLine="567"/>
              <w:contextualSpacing w:val="0"/>
              <w:rPr>
                <w:b/>
                <w:color w:val="auto"/>
                <w:sz w:val="22"/>
                <w:szCs w:val="22"/>
                <w:u w:val="single"/>
              </w:rPr>
            </w:pPr>
            <w:r w:rsidRPr="00DA6377">
              <w:rPr>
                <w:b/>
                <w:color w:val="auto"/>
                <w:sz w:val="22"/>
                <w:szCs w:val="22"/>
                <w:u w:val="single"/>
              </w:rPr>
              <w:t>Juridiskais birojs</w:t>
            </w:r>
          </w:p>
          <w:p w14:paraId="0F8C3EB2" w14:textId="77777777" w:rsidR="00880588" w:rsidRPr="00880588" w:rsidRDefault="00880588" w:rsidP="00880588">
            <w:pPr>
              <w:ind w:firstLine="567"/>
              <w:jc w:val="both"/>
              <w:rPr>
                <w:i/>
                <w:sz w:val="22"/>
                <w:lang w:eastAsia="lv-LV"/>
              </w:rPr>
            </w:pPr>
            <w:r w:rsidRPr="00880588">
              <w:rPr>
                <w:i/>
                <w:sz w:val="22"/>
                <w:lang w:eastAsia="lv-LV"/>
              </w:rPr>
              <w:t>Juridiskais birojs iepazinās ar likumprojektu “Grozījums likumā “Par valsts pensijām”” (Nr. 407/Lp14) (turpmāk — likumprojekts) un pirms otrā lasījuma sniedz šādu atzinumu:</w:t>
            </w:r>
          </w:p>
          <w:p w14:paraId="124DF55A" w14:textId="77777777" w:rsidR="00880588" w:rsidRPr="00880588" w:rsidRDefault="00880588" w:rsidP="00880588">
            <w:pPr>
              <w:ind w:firstLine="567"/>
              <w:jc w:val="both"/>
              <w:rPr>
                <w:i/>
                <w:sz w:val="22"/>
                <w:lang w:eastAsia="lv-LV"/>
              </w:rPr>
            </w:pPr>
            <w:r w:rsidRPr="00880588">
              <w:rPr>
                <w:i/>
                <w:sz w:val="22"/>
                <w:lang w:eastAsia="lv-LV"/>
              </w:rPr>
              <w:t>Likumprojekta mērķis ir novērst nevienlīdzību starp pensiju saņēmējiem atkarībā no pensijas pieprasīšanas gada, uzlabot pensiju adekvātumu un samazināt pensiju saņēmēju nabadzības risku (</w:t>
            </w:r>
            <w:r w:rsidRPr="00880588">
              <w:rPr>
                <w:i/>
                <w:iCs/>
                <w:sz w:val="22"/>
                <w:lang w:eastAsia="lv-LV"/>
              </w:rPr>
              <w:t>sk. likumprojekta anotācijas 1.2. punktu</w:t>
            </w:r>
            <w:r w:rsidRPr="00880588">
              <w:rPr>
                <w:i/>
                <w:sz w:val="22"/>
                <w:lang w:eastAsia="lv-LV"/>
              </w:rPr>
              <w:t>). Proti, šobrīd pie vecuma un invaliditātes pensijām, kas piešķirtas līdz 2011. gada 31. decembrim, ir piešķirta piemaksa par apdrošināšanas stāžu, kas uzkrāts līdz 1995. gada 31. decembrim. Personas, kurām piemaksa piešķirta līdz 2011. gada 31. decembrim, joprojām saņem gan pensiju, gan piemaksu tām noteiktajā apmērā. Savukārt personām, kurām pensija piešķirta pēc 2012. gada 1. janvāra, piemaksa pie pensijas netiek piešķirta.</w:t>
            </w:r>
          </w:p>
          <w:p w14:paraId="53CA4A7F" w14:textId="77777777" w:rsidR="00880588" w:rsidRPr="00880588" w:rsidRDefault="00880588" w:rsidP="00880588">
            <w:pPr>
              <w:ind w:firstLine="567"/>
              <w:jc w:val="both"/>
              <w:rPr>
                <w:i/>
                <w:sz w:val="22"/>
                <w:lang w:eastAsia="lv-LV"/>
              </w:rPr>
            </w:pPr>
            <w:r w:rsidRPr="00880588">
              <w:rPr>
                <w:i/>
                <w:sz w:val="22"/>
                <w:lang w:eastAsia="lv-LV"/>
              </w:rPr>
              <w:t xml:space="preserve">Lai likumprojekts sasniegtu mērķi, tajā paredzēts pakāpeniski – no 2024. gada līdz 2029. gadam – atjaunot </w:t>
            </w:r>
            <w:r w:rsidRPr="00880588">
              <w:rPr>
                <w:i/>
                <w:sz w:val="22"/>
                <w:lang w:eastAsia="lv-LV"/>
              </w:rPr>
              <w:lastRenderedPageBreak/>
              <w:t>piemaksu piešķiršanu pie tām vecuma un invaliditātes pensijām, kuras piešķirtas laikā no 2012. gada līdz 2028. gadam. Tādējādi no 2029. gada visiem vecuma un invaliditātes pensijas saņēmējiem pie pensijas tiktu piešķirta piemaksa par apdrošināšanas stāžu, kas uzkrāts līdz 1995. gada 31. decembrim.</w:t>
            </w:r>
          </w:p>
          <w:p w14:paraId="1298CAF2" w14:textId="77777777" w:rsidR="00880588" w:rsidRPr="00880588" w:rsidRDefault="00880588" w:rsidP="00880588">
            <w:pPr>
              <w:ind w:firstLine="567"/>
              <w:jc w:val="both"/>
              <w:rPr>
                <w:i/>
                <w:sz w:val="22"/>
                <w:lang w:eastAsia="lv-LV"/>
              </w:rPr>
            </w:pPr>
            <w:r w:rsidRPr="00880588">
              <w:rPr>
                <w:i/>
                <w:sz w:val="22"/>
                <w:lang w:eastAsia="lv-LV"/>
              </w:rPr>
              <w:t xml:space="preserve">Lai gan likumprojektā ietvertais regulējums ir vērsts uz to, lai no 2029. gada būtu novērsta iepriekš aprakstītā nevienlīdzīgā attieksme, tas pats par sevi neparedz to, ka </w:t>
            </w:r>
            <w:r w:rsidRPr="00880588">
              <w:rPr>
                <w:i/>
                <w:sz w:val="22"/>
                <w:u w:val="single"/>
                <w:lang w:eastAsia="lv-LV"/>
              </w:rPr>
              <w:t>līdz 2029. gadam</w:t>
            </w:r>
            <w:r w:rsidRPr="00880588">
              <w:rPr>
                <w:i/>
                <w:sz w:val="22"/>
                <w:lang w:eastAsia="lv-LV"/>
              </w:rPr>
              <w:t xml:space="preserve"> likumdevējs nodrošinās tādu regulējumu, kas atbilstu Latvijas Republikas Satversmē (turpmāk – Satversme) noteiktajam.</w:t>
            </w:r>
          </w:p>
          <w:p w14:paraId="0AAE7378" w14:textId="77777777" w:rsidR="00880588" w:rsidRPr="00880588" w:rsidRDefault="00880588" w:rsidP="00880588">
            <w:pPr>
              <w:ind w:firstLine="567"/>
              <w:jc w:val="both"/>
              <w:rPr>
                <w:i/>
                <w:sz w:val="22"/>
                <w:lang w:eastAsia="lv-LV"/>
              </w:rPr>
            </w:pPr>
            <w:r w:rsidRPr="00880588">
              <w:rPr>
                <w:i/>
                <w:sz w:val="22"/>
                <w:lang w:eastAsia="lv-LV"/>
              </w:rPr>
              <w:t xml:space="preserve">Lai gan likumdevējs sociālo tiesību jomā bauda plašu rīcības brīvību, tā tomēr nav absolūta, un likumdevējam ir pienākums ievērot no Satversmes izrietošos vispārējos tiesību principus, tostarp tiesiskās vienlīdzības principu. Tiesiskās vienlīdzības princips liedz likumdevējam izdot tādas normas, kas bez saprātīga pamata pieļauj atšķirīgu attieksmi pret personām, kuras atrodas vienādos un pēc noteiktiem kritērijiem salīdzināmos apstākļos. Tādēļ, izvērtējot, vai tiesiskais regulējums atbilst Satversmes 91. panta pirmajā teikumā ietvertajam tiesiskās vienlīdzības principam, ir jānoskaidro: 1) vai un kuras personas (personu grupas) ir salīdzināmas un vai tās atrodas vienādos vai atšķirīgos apstākļos; 2) vai apstrīdētā norma </w:t>
            </w:r>
            <w:r w:rsidRPr="00880588">
              <w:rPr>
                <w:i/>
                <w:sz w:val="22"/>
                <w:lang w:eastAsia="lv-LV"/>
              </w:rPr>
              <w:lastRenderedPageBreak/>
              <w:t>paredz vienādu attieksmi pret atšķirīgos apstākļos esošām personām vai arī atšķirīgu attieksmi pret vienādos apstākļos esošām personām; 3) vai šāda attieksme ir noteikta ar normatīvajos aktos paredzētā kārtībā pieņemtu tiesību normu; 4) vai šādai attieksmei ir objektīvs un saprātīgs pamats, proti, vai tai ir leģitīms mērķis, un vai ir ievērots samērīguma princips (</w:t>
            </w:r>
            <w:r w:rsidRPr="00880588">
              <w:rPr>
                <w:i/>
                <w:iCs/>
                <w:sz w:val="22"/>
                <w:lang w:eastAsia="lv-LV"/>
              </w:rPr>
              <w:t>sk. Satversmes tiesas 2020. gada 2. novembra sprieduma lietā Nr. 2020-14-01 8. punktu</w:t>
            </w:r>
            <w:r w:rsidRPr="00880588">
              <w:rPr>
                <w:i/>
                <w:sz w:val="22"/>
                <w:lang w:eastAsia="lv-LV"/>
              </w:rPr>
              <w:t>).</w:t>
            </w:r>
          </w:p>
          <w:p w14:paraId="619075FE" w14:textId="77777777" w:rsidR="00880588" w:rsidRPr="00880588" w:rsidRDefault="00880588" w:rsidP="00880588">
            <w:pPr>
              <w:ind w:firstLine="567"/>
              <w:jc w:val="both"/>
              <w:rPr>
                <w:i/>
                <w:sz w:val="22"/>
                <w:lang w:eastAsia="lv-LV"/>
              </w:rPr>
            </w:pPr>
            <w:bookmarkStart w:id="2" w:name="_Hlk150963816"/>
            <w:r w:rsidRPr="00880588">
              <w:rPr>
                <w:i/>
                <w:sz w:val="22"/>
                <w:lang w:eastAsia="lv-LV"/>
              </w:rPr>
              <w:t>Attiecībā uz konkrēto piemaksu saņemšanu Satversmes tiesa ir atzinusi, ka vienādos un salīdzināmos apstākļos atrodas visas tās personas, kurām piešķirta pensija un kurām ir līdz 1995. gada 31. decembrim uzkrāts apdrošināšanas stāžs (</w:t>
            </w:r>
            <w:r w:rsidRPr="00880588">
              <w:rPr>
                <w:i/>
                <w:iCs/>
                <w:sz w:val="22"/>
                <w:lang w:eastAsia="lv-LV"/>
              </w:rPr>
              <w:t>sk. Satversmes tiesas 2013. gada 13. februāra sprieduma lietā Nr. 2012-12-01 14.2.1. punktu</w:t>
            </w:r>
            <w:r w:rsidRPr="00880588">
              <w:rPr>
                <w:i/>
                <w:sz w:val="22"/>
                <w:lang w:eastAsia="lv-LV"/>
              </w:rPr>
              <w:t xml:space="preserve">). Gan personām, kurām pensija piešķirta līdz 2011. gada 31. decembrim, gan personām, kurām pensija piešķirta pēc šā datuma, ir apdrošināšanas stāžs, kas uzkrāts līdz 1995. gada 31. decembrim, bet piemaksa šobrīd tiek maksāta tikai vienai no abām minētajām grupām, proti, personām, kurām pensija piešķirta līdz 2011. gada 31. decembrim. Personām, kurām tā piešķirta vēlāk, nav tiesību uz piemaksu. Atbilstoši likumprojektā piedāvātajam regulējumam attiecīgā piemaksa </w:t>
            </w:r>
            <w:r w:rsidRPr="00880588">
              <w:rPr>
                <w:i/>
                <w:sz w:val="22"/>
                <w:u w:val="single"/>
                <w:lang w:eastAsia="lv-LV"/>
              </w:rPr>
              <w:t xml:space="preserve">visām </w:t>
            </w:r>
            <w:r w:rsidRPr="00880588">
              <w:rPr>
                <w:i/>
                <w:sz w:val="22"/>
                <w:lang w:eastAsia="lv-LV"/>
              </w:rPr>
              <w:t xml:space="preserve">personām tiks piešķirta tikai no 2029. gada 1. janvāra. Tātad </w:t>
            </w:r>
            <w:r w:rsidRPr="00880588">
              <w:rPr>
                <w:i/>
                <w:sz w:val="22"/>
                <w:lang w:eastAsia="lv-LV"/>
              </w:rPr>
              <w:lastRenderedPageBreak/>
              <w:t xml:space="preserve">līdz minētajam datumam likumprojektā ietvertais regulējums paredz atšķirīgu attieksmi pret personu grupām, kuras atrodas vienādos un salīdzināmos apstākļos. </w:t>
            </w:r>
          </w:p>
          <w:p w14:paraId="7E0B8256" w14:textId="77777777" w:rsidR="00880588" w:rsidRPr="00880588" w:rsidRDefault="00880588" w:rsidP="00880588">
            <w:pPr>
              <w:ind w:firstLine="567"/>
              <w:jc w:val="both"/>
              <w:rPr>
                <w:i/>
                <w:color w:val="000000"/>
                <w:sz w:val="22"/>
              </w:rPr>
            </w:pPr>
            <w:r w:rsidRPr="00880588">
              <w:rPr>
                <w:i/>
                <w:sz w:val="22"/>
                <w:lang w:eastAsia="lv-LV"/>
              </w:rPr>
              <w:t xml:space="preserve">Lai secinātu, ka tiesiskajā regulējumā paredzētā atšķirīgā attieksme pret vienādos un pēc noteiktiem kritērijiem salīdzināmos apstākļos esošām personu grupām atbilst tiesiskās vienlīdzības principam, ir jākonstatē tādi objektīvi apstākļi un argumenti, kas attaisno atšķirīgo attieksmi, proti, jākonstatē pašas atšķirīgās attieksmes leģitīmais mērķis, un jānoskaidro, vai šī atšķirīgā attieksme pret attiecīgajām personu grupām ir samērīga. </w:t>
            </w:r>
            <w:r w:rsidRPr="00880588">
              <w:rPr>
                <w:i/>
                <w:color w:val="000000"/>
                <w:sz w:val="22"/>
              </w:rPr>
              <w:t>Leģitīmie mērķi, kas var attaisnot atšķirīgu attieksmi pret vienādos un salīdzināmos apstākļos esošām personu grupām, ir noteikti Satversmes 116. pantā.</w:t>
            </w:r>
          </w:p>
          <w:p w14:paraId="1A94211E" w14:textId="77777777" w:rsidR="00880588" w:rsidRPr="00880588" w:rsidRDefault="00880588" w:rsidP="00880588">
            <w:pPr>
              <w:ind w:firstLine="567"/>
              <w:jc w:val="both"/>
              <w:rPr>
                <w:i/>
                <w:sz w:val="22"/>
              </w:rPr>
            </w:pPr>
            <w:r w:rsidRPr="00880588">
              <w:rPr>
                <w:i/>
                <w:color w:val="000000"/>
                <w:sz w:val="22"/>
              </w:rPr>
              <w:t xml:space="preserve">No likumprojekta anotācijā un Saeimas Budžeta un finanšu (nodokļu) komisijas 2023. gada 8. decembra sēdē sniegtā skaidrojuma var secināt, ka atšķirīgās attieksmes leģitīmais mērķis ir valsts pamatbudžeta stabilitāte. Tomēr Satversmes tiesa ir atzinusi, ka nepieciešamība taupīt valsts budžeta līdzekļus var attaisnot vienīgi valsts atteikšanos piešķirt līdzekļus mazāk svarīgu tās funkciju veikšanai vai vispārēju taupības pasākumu ieviešanu ekonomiskās lejupslīdes apstākļos, taču valsts budžeta līdzekļu ietaupījums nevar kalpot par leģitīmu mērķi atšķirīgai attieksmei pret personu </w:t>
            </w:r>
            <w:r w:rsidRPr="00880588">
              <w:rPr>
                <w:i/>
                <w:color w:val="000000"/>
                <w:sz w:val="22"/>
              </w:rPr>
              <w:lastRenderedPageBreak/>
              <w:t>grupām, kas atrodas vienādos un pēc noteiktiem kritērijiem salīdzināmos apstākļos (</w:t>
            </w:r>
            <w:r w:rsidRPr="00880588">
              <w:rPr>
                <w:i/>
                <w:iCs/>
                <w:color w:val="000000"/>
                <w:sz w:val="22"/>
              </w:rPr>
              <w:t>sk. </w:t>
            </w:r>
            <w:r w:rsidRPr="00880588">
              <w:rPr>
                <w:i/>
                <w:iCs/>
                <w:sz w:val="22"/>
              </w:rPr>
              <w:t>Satversmes tiesas 2019. gada 2. maija sprieduma lietā Nr. 2018-14-01 18. punktu</w:t>
            </w:r>
            <w:r w:rsidRPr="00880588">
              <w:rPr>
                <w:i/>
                <w:sz w:val="22"/>
              </w:rPr>
              <w:t xml:space="preserve">). Tātad likumprojektā piedāvātajā regulējumā noteiktajai atšķirīgajai attieksmei nav leģitīma mērķa. Līdz ar to likumprojektā piedāvātais regulējums neatbilst tiesiskās vienlīdzības principam. </w:t>
            </w:r>
          </w:p>
          <w:p w14:paraId="3FC749C0" w14:textId="77777777" w:rsidR="00880588" w:rsidRPr="00880588" w:rsidRDefault="00880588" w:rsidP="00880588">
            <w:pPr>
              <w:ind w:firstLine="567"/>
              <w:jc w:val="both"/>
              <w:rPr>
                <w:i/>
                <w:sz w:val="22"/>
              </w:rPr>
            </w:pPr>
            <w:r w:rsidRPr="00880588">
              <w:rPr>
                <w:i/>
                <w:sz w:val="22"/>
              </w:rPr>
              <w:t xml:space="preserve">Ņemot vērā iepriekš minēto, aicinām likumprojektā paredzēt, ka piemaksu par katru līdz 1995. gada 31. decembrim uzkrātā apdrošināšanas stāža gadu saņems visas personas, kas atrodas </w:t>
            </w:r>
            <w:r w:rsidRPr="00880588">
              <w:rPr>
                <w:i/>
                <w:color w:val="000000"/>
                <w:sz w:val="22"/>
              </w:rPr>
              <w:t>vienādos un salīdzināmos apstākļos</w:t>
            </w:r>
            <w:bookmarkEnd w:id="2"/>
            <w:r w:rsidRPr="00880588">
              <w:rPr>
                <w:i/>
                <w:sz w:val="22"/>
              </w:rPr>
              <w:t>.</w:t>
            </w:r>
          </w:p>
        </w:tc>
        <w:tc>
          <w:tcPr>
            <w:tcW w:w="1417" w:type="dxa"/>
          </w:tcPr>
          <w:p w14:paraId="50A438C3" w14:textId="77777777" w:rsidR="009D321A" w:rsidRPr="009D321A" w:rsidRDefault="009D321A" w:rsidP="00BB5154">
            <w:pPr>
              <w:pStyle w:val="paragraph"/>
              <w:ind w:firstLine="0"/>
              <w:contextualSpacing w:val="0"/>
              <w:jc w:val="left"/>
              <w:rPr>
                <w:b/>
                <w:color w:val="auto"/>
                <w:sz w:val="22"/>
                <w:szCs w:val="22"/>
              </w:rPr>
            </w:pPr>
            <w:r w:rsidRPr="009D321A">
              <w:rPr>
                <w:b/>
                <w:color w:val="auto"/>
                <w:sz w:val="22"/>
                <w:szCs w:val="22"/>
              </w:rPr>
              <w:lastRenderedPageBreak/>
              <w:t>Neatbalstīt</w:t>
            </w:r>
          </w:p>
          <w:p w14:paraId="47226FD9" w14:textId="77777777" w:rsidR="009D321A" w:rsidRPr="009D321A" w:rsidRDefault="009D321A" w:rsidP="009D321A">
            <w:pPr>
              <w:rPr>
                <w:lang w:eastAsia="lv-LV"/>
              </w:rPr>
            </w:pPr>
          </w:p>
        </w:tc>
        <w:tc>
          <w:tcPr>
            <w:tcW w:w="1417" w:type="dxa"/>
          </w:tcPr>
          <w:p w14:paraId="0F29BDF6" w14:textId="77777777" w:rsidR="00424639" w:rsidRPr="00704049" w:rsidRDefault="00424639" w:rsidP="00424639">
            <w:pPr>
              <w:pStyle w:val="paragraph"/>
              <w:contextualSpacing w:val="0"/>
              <w:jc w:val="center"/>
              <w:rPr>
                <w:color w:val="auto"/>
                <w:sz w:val="22"/>
                <w:szCs w:val="22"/>
              </w:rPr>
            </w:pPr>
          </w:p>
        </w:tc>
      </w:tr>
      <w:tr w:rsidR="00704049" w:rsidRPr="00704049" w14:paraId="4869916A" w14:textId="77777777" w:rsidTr="00424639">
        <w:tc>
          <w:tcPr>
            <w:tcW w:w="3685" w:type="dxa"/>
            <w:shd w:val="clear" w:color="auto" w:fill="auto"/>
          </w:tcPr>
          <w:p w14:paraId="162CDEFE" w14:textId="77777777" w:rsidR="00424639" w:rsidRPr="00704049" w:rsidRDefault="00424639" w:rsidP="00691A94">
            <w:pPr>
              <w:pStyle w:val="tv213"/>
              <w:spacing w:before="0" w:beforeAutospacing="0" w:after="0" w:afterAutospacing="0"/>
              <w:ind w:firstLine="567"/>
              <w:jc w:val="both"/>
              <w:rPr>
                <w:b/>
                <w:bCs/>
                <w:sz w:val="22"/>
                <w:szCs w:val="22"/>
              </w:rPr>
            </w:pPr>
            <w:r w:rsidRPr="00704049">
              <w:rPr>
                <w:b/>
                <w:bCs/>
                <w:sz w:val="22"/>
                <w:szCs w:val="22"/>
              </w:rPr>
              <w:lastRenderedPageBreak/>
              <w:t>Pārejas noteikumi</w:t>
            </w:r>
          </w:p>
        </w:tc>
        <w:tc>
          <w:tcPr>
            <w:tcW w:w="3685" w:type="dxa"/>
            <w:shd w:val="clear" w:color="auto" w:fill="auto"/>
          </w:tcPr>
          <w:p w14:paraId="52737536" w14:textId="77777777" w:rsidR="00D910F7" w:rsidRDefault="00424639" w:rsidP="00D910F7">
            <w:pPr>
              <w:pStyle w:val="paragraph"/>
              <w:ind w:firstLine="567"/>
              <w:contextualSpacing w:val="0"/>
              <w:rPr>
                <w:color w:val="auto"/>
                <w:sz w:val="22"/>
                <w:szCs w:val="22"/>
              </w:rPr>
            </w:pPr>
            <w:r w:rsidRPr="00704049">
              <w:rPr>
                <w:color w:val="auto"/>
                <w:sz w:val="22"/>
                <w:szCs w:val="22"/>
              </w:rPr>
              <w:t>Papildināt pārejas noteikumus ar 41.</w:t>
            </w:r>
            <w:r w:rsidRPr="00704049">
              <w:rPr>
                <w:color w:val="auto"/>
                <w:sz w:val="22"/>
                <w:szCs w:val="22"/>
                <w:vertAlign w:val="superscript"/>
              </w:rPr>
              <w:t>7</w:t>
            </w:r>
            <w:r w:rsidRPr="00704049">
              <w:rPr>
                <w:color w:val="auto"/>
                <w:sz w:val="22"/>
                <w:szCs w:val="22"/>
              </w:rPr>
              <w:t>, 41.</w:t>
            </w:r>
            <w:r w:rsidRPr="00704049">
              <w:rPr>
                <w:color w:val="auto"/>
                <w:sz w:val="22"/>
                <w:szCs w:val="22"/>
                <w:vertAlign w:val="superscript"/>
              </w:rPr>
              <w:t>8</w:t>
            </w:r>
            <w:r w:rsidRPr="00704049">
              <w:rPr>
                <w:color w:val="auto"/>
                <w:sz w:val="22"/>
                <w:szCs w:val="22"/>
              </w:rPr>
              <w:t> un 41.</w:t>
            </w:r>
            <w:r w:rsidRPr="00704049">
              <w:rPr>
                <w:color w:val="auto"/>
                <w:sz w:val="22"/>
                <w:szCs w:val="22"/>
                <w:vertAlign w:val="superscript"/>
              </w:rPr>
              <w:t>9</w:t>
            </w:r>
            <w:r w:rsidRPr="00704049">
              <w:rPr>
                <w:color w:val="auto"/>
                <w:sz w:val="22"/>
                <w:szCs w:val="22"/>
              </w:rPr>
              <w:t xml:space="preserve">  punktu šādā redakcijā:</w:t>
            </w:r>
          </w:p>
          <w:p w14:paraId="326488A3" w14:textId="77777777" w:rsidR="00D910F7" w:rsidRDefault="00424639" w:rsidP="00D910F7">
            <w:pPr>
              <w:pStyle w:val="paragraph"/>
              <w:ind w:firstLine="567"/>
              <w:contextualSpacing w:val="0"/>
              <w:rPr>
                <w:sz w:val="22"/>
              </w:rPr>
            </w:pPr>
            <w:r w:rsidRPr="00704049">
              <w:rPr>
                <w:sz w:val="22"/>
              </w:rPr>
              <w:t>"41.</w:t>
            </w:r>
            <w:r w:rsidRPr="00704049">
              <w:rPr>
                <w:sz w:val="22"/>
                <w:vertAlign w:val="superscript"/>
              </w:rPr>
              <w:t>7</w:t>
            </w:r>
            <w:r w:rsidRPr="00704049">
              <w:rPr>
                <w:sz w:val="22"/>
              </w:rPr>
              <w:t xml:space="preserve"> No 2029. gada 1. janvāra Latvijā, Eiropas Ekonomikas zonas dalībvalstīs, Šveicē, Lielbritānijas un Ziemeļīrijas Apvienotajā Karalistē un </w:t>
            </w:r>
            <w:proofErr w:type="spellStart"/>
            <w:r w:rsidRPr="00704049">
              <w:rPr>
                <w:sz w:val="22"/>
              </w:rPr>
              <w:t>Gērnsijā</w:t>
            </w:r>
            <w:proofErr w:type="spellEnd"/>
            <w:r w:rsidRPr="00704049">
              <w:rPr>
                <w:sz w:val="22"/>
              </w:rPr>
              <w:t xml:space="preserve"> dzīvojošiem vecuma un invaliditātes pensijas saņēmējiem par apdrošināšanas stāžu, kas uzkrāts līdz 1995. gada 31. decembrim un ņemts vērā, piešķirot (pārrēķinot) pensiju, piešķir piemaksu par katru apdrošināšanas stāža gadu. Ja vecuma vai invaliditātes pensija piešķirta laikposmā no 2012. gada 1. janvāra līdz 2028. gada 31. decembrim, piemaksu par katru apdrošināšanas stāža gadu, kas uzkrāts līdz 1995. gada 31. </w:t>
            </w:r>
            <w:r w:rsidRPr="00704049">
              <w:rPr>
                <w:sz w:val="22"/>
              </w:rPr>
              <w:lastRenderedPageBreak/>
              <w:t>decembrim un ņemts vērā, piešķirot (pārrēķinot) pensiju, piešķir šādā termiņā:</w:t>
            </w:r>
          </w:p>
          <w:p w14:paraId="55DA9DE5" w14:textId="77777777" w:rsidR="00D910F7" w:rsidRDefault="00424639" w:rsidP="00D910F7">
            <w:pPr>
              <w:pStyle w:val="paragraph"/>
              <w:ind w:firstLine="567"/>
              <w:contextualSpacing w:val="0"/>
              <w:rPr>
                <w:sz w:val="22"/>
              </w:rPr>
            </w:pPr>
            <w:r w:rsidRPr="00704049">
              <w:rPr>
                <w:sz w:val="22"/>
              </w:rPr>
              <w:t>1)  no 2024. gada 1. janvāra – pensijām, kas piešķirtas laikposmā no 2012. gada 1. janvāra līdz 2014. gada 31. decembrim;</w:t>
            </w:r>
          </w:p>
          <w:p w14:paraId="3EE83B60" w14:textId="77777777" w:rsidR="00D910F7" w:rsidRDefault="00424639" w:rsidP="00D910F7">
            <w:pPr>
              <w:pStyle w:val="paragraph"/>
              <w:ind w:firstLine="567"/>
              <w:contextualSpacing w:val="0"/>
              <w:rPr>
                <w:sz w:val="22"/>
              </w:rPr>
            </w:pPr>
            <w:r w:rsidRPr="00704049">
              <w:rPr>
                <w:sz w:val="22"/>
              </w:rPr>
              <w:t>2)  no 2025. gada 1. janvāra – pensijām, kas piešķirtas laikposmā no 2015. gada 1. janvāra līdz 2017. gada 31. decembrim;</w:t>
            </w:r>
          </w:p>
          <w:p w14:paraId="6E3A9BE7" w14:textId="77777777" w:rsidR="00D910F7" w:rsidRDefault="00424639" w:rsidP="00D910F7">
            <w:pPr>
              <w:pStyle w:val="paragraph"/>
              <w:ind w:firstLine="567"/>
              <w:contextualSpacing w:val="0"/>
              <w:rPr>
                <w:sz w:val="22"/>
              </w:rPr>
            </w:pPr>
            <w:r w:rsidRPr="00704049">
              <w:rPr>
                <w:sz w:val="22"/>
              </w:rPr>
              <w:t>3)  no 2026. gada 1. janvāra – pensijām, kas piešķirtas laikposmā no 2018. gada 1. janvāra līdz 2020. gada 31. decembrim;</w:t>
            </w:r>
          </w:p>
          <w:p w14:paraId="597BD870" w14:textId="77777777" w:rsidR="00D910F7" w:rsidRDefault="00424639" w:rsidP="00D910F7">
            <w:pPr>
              <w:pStyle w:val="paragraph"/>
              <w:ind w:firstLine="567"/>
              <w:contextualSpacing w:val="0"/>
              <w:rPr>
                <w:sz w:val="22"/>
              </w:rPr>
            </w:pPr>
            <w:r w:rsidRPr="00704049">
              <w:rPr>
                <w:sz w:val="22"/>
              </w:rPr>
              <w:t>4)  no 2027. gada 1. janvāra – pensijām, kas piešķirtas laikposmā no 2021. gada 1. janvāra līdz 2023. gada 31. decembrim;</w:t>
            </w:r>
          </w:p>
          <w:p w14:paraId="7F2B33B3" w14:textId="77777777" w:rsidR="00D910F7" w:rsidRDefault="00424639" w:rsidP="00D910F7">
            <w:pPr>
              <w:pStyle w:val="paragraph"/>
              <w:ind w:firstLine="567"/>
              <w:contextualSpacing w:val="0"/>
              <w:rPr>
                <w:sz w:val="22"/>
              </w:rPr>
            </w:pPr>
            <w:r w:rsidRPr="00704049">
              <w:rPr>
                <w:sz w:val="22"/>
              </w:rPr>
              <w:t>5)  no 2028. gada 1. janvāra – pensijām, kas piešķirtas laikposmā no 2024. gada 1. janvāra līdz 2026. gada 31. decembrim;</w:t>
            </w:r>
          </w:p>
          <w:p w14:paraId="376B5343" w14:textId="77777777" w:rsidR="00424639" w:rsidRPr="00D910F7" w:rsidRDefault="00424639" w:rsidP="00D910F7">
            <w:pPr>
              <w:pStyle w:val="paragraph"/>
              <w:ind w:firstLine="567"/>
              <w:contextualSpacing w:val="0"/>
              <w:rPr>
                <w:color w:val="auto"/>
                <w:sz w:val="22"/>
                <w:szCs w:val="22"/>
              </w:rPr>
            </w:pPr>
            <w:r w:rsidRPr="00704049">
              <w:rPr>
                <w:sz w:val="22"/>
              </w:rPr>
              <w:t>6)  no 2029. gada 1. janvāra – pensijām, kas piešķirtas laikposmā no 2027. gada 1. janvāra līdz 2028. gada 31. decembrim.</w:t>
            </w:r>
          </w:p>
        </w:tc>
        <w:tc>
          <w:tcPr>
            <w:tcW w:w="567" w:type="dxa"/>
          </w:tcPr>
          <w:p w14:paraId="2B660749" w14:textId="77777777" w:rsidR="00424639" w:rsidRPr="00DA6377" w:rsidRDefault="00DA6377" w:rsidP="00DA6377">
            <w:pPr>
              <w:pStyle w:val="paragraph"/>
              <w:ind w:firstLine="0"/>
              <w:contextualSpacing w:val="0"/>
              <w:jc w:val="center"/>
              <w:rPr>
                <w:b/>
                <w:color w:val="auto"/>
                <w:sz w:val="22"/>
                <w:szCs w:val="22"/>
              </w:rPr>
            </w:pPr>
            <w:r w:rsidRPr="00DA6377">
              <w:rPr>
                <w:b/>
                <w:color w:val="auto"/>
                <w:sz w:val="22"/>
                <w:szCs w:val="22"/>
              </w:rPr>
              <w:lastRenderedPageBreak/>
              <w:t>2</w:t>
            </w:r>
          </w:p>
        </w:tc>
        <w:tc>
          <w:tcPr>
            <w:tcW w:w="3685" w:type="dxa"/>
          </w:tcPr>
          <w:p w14:paraId="04323C1D" w14:textId="77777777" w:rsidR="00D910F7" w:rsidRPr="00D910F7" w:rsidRDefault="00D910F7" w:rsidP="00D910F7">
            <w:pPr>
              <w:ind w:firstLine="567"/>
              <w:jc w:val="both"/>
              <w:rPr>
                <w:b/>
                <w:sz w:val="22"/>
                <w:u w:val="single"/>
              </w:rPr>
            </w:pPr>
            <w:r w:rsidRPr="00D910F7">
              <w:rPr>
                <w:b/>
                <w:sz w:val="22"/>
                <w:u w:val="single"/>
              </w:rPr>
              <w:t xml:space="preserve">Deputāte </w:t>
            </w:r>
            <w:proofErr w:type="spellStart"/>
            <w:r w:rsidRPr="00D910F7">
              <w:rPr>
                <w:b/>
                <w:sz w:val="22"/>
                <w:u w:val="single"/>
              </w:rPr>
              <w:t>R.Petraviča</w:t>
            </w:r>
            <w:proofErr w:type="spellEnd"/>
          </w:p>
          <w:p w14:paraId="1638C7AE" w14:textId="77777777" w:rsidR="00D910F7" w:rsidRPr="00D5681D" w:rsidRDefault="00D910F7" w:rsidP="00D910F7">
            <w:pPr>
              <w:ind w:firstLine="567"/>
              <w:jc w:val="both"/>
              <w:rPr>
                <w:sz w:val="22"/>
              </w:rPr>
            </w:pPr>
            <w:r w:rsidRPr="00D5681D">
              <w:rPr>
                <w:sz w:val="22"/>
              </w:rPr>
              <w:t>Izdarīt likumā "Par valsts pensijām"</w:t>
            </w:r>
            <w:r w:rsidRPr="00D5681D">
              <w:rPr>
                <w:b/>
                <w:bCs/>
                <w:sz w:val="22"/>
              </w:rPr>
              <w:t xml:space="preserve"> </w:t>
            </w:r>
            <w:r w:rsidRPr="00D5681D">
              <w:rPr>
                <w:sz w:val="22"/>
              </w:rPr>
              <w:t>šādu grozījumu:</w:t>
            </w:r>
          </w:p>
          <w:p w14:paraId="1B5118F5" w14:textId="77777777" w:rsidR="00D910F7" w:rsidRPr="00D5681D" w:rsidRDefault="00D910F7" w:rsidP="00D910F7">
            <w:pPr>
              <w:ind w:firstLine="567"/>
              <w:jc w:val="both"/>
              <w:rPr>
                <w:sz w:val="22"/>
              </w:rPr>
            </w:pPr>
            <w:r w:rsidRPr="00D5681D">
              <w:rPr>
                <w:sz w:val="22"/>
              </w:rPr>
              <w:t>Papildināt pārejas noteikumus ar 41.</w:t>
            </w:r>
            <w:r w:rsidRPr="00D5681D">
              <w:rPr>
                <w:sz w:val="22"/>
                <w:vertAlign w:val="superscript"/>
              </w:rPr>
              <w:t>7</w:t>
            </w:r>
            <w:r w:rsidRPr="00D5681D">
              <w:rPr>
                <w:sz w:val="22"/>
              </w:rPr>
              <w:t xml:space="preserve"> punktu šādā redakcijā:</w:t>
            </w:r>
          </w:p>
          <w:p w14:paraId="11373211" w14:textId="77777777" w:rsidR="00D910F7" w:rsidRPr="00D5681D" w:rsidRDefault="00D910F7" w:rsidP="00D910F7">
            <w:pPr>
              <w:ind w:firstLine="567"/>
              <w:jc w:val="both"/>
              <w:rPr>
                <w:sz w:val="22"/>
              </w:rPr>
            </w:pPr>
            <w:r w:rsidRPr="00D5681D">
              <w:rPr>
                <w:sz w:val="22"/>
              </w:rPr>
              <w:t>“41.</w:t>
            </w:r>
            <w:r w:rsidRPr="00D5681D">
              <w:rPr>
                <w:sz w:val="22"/>
                <w:vertAlign w:val="superscript"/>
              </w:rPr>
              <w:t xml:space="preserve">7 </w:t>
            </w:r>
            <w:r w:rsidRPr="00D5681D">
              <w:rPr>
                <w:sz w:val="22"/>
              </w:rPr>
              <w:t xml:space="preserve"> No 2029. gada 1. janvāra Latvijā, Eiropas Ekonomikas zonas dalībvalstīs, Šveicē, Lielbritānijas un Ziemeļīrijas Apvienotajā Karalistē un </w:t>
            </w:r>
            <w:proofErr w:type="spellStart"/>
            <w:r w:rsidRPr="00D5681D">
              <w:rPr>
                <w:sz w:val="22"/>
              </w:rPr>
              <w:t>Gērnsijā</w:t>
            </w:r>
            <w:proofErr w:type="spellEnd"/>
            <w:r w:rsidRPr="00D5681D">
              <w:rPr>
                <w:sz w:val="22"/>
              </w:rPr>
              <w:t xml:space="preserve"> dzīvojošiem vecuma un invaliditātes pensijas saņēmējiem par apdrošināšanas stāžu, kas uzkrāts līdz 1995. gada 31. decembrim un ņemts vērā, piešķirot (pārrēķinot) pensiju, piešķir piemaksu par katru apdrošināšanas stāža gadu. Ja vecuma vai invaliditātes pensija piešķirta laikposmā no 2012. gada 1. janvāra, piemaksu par katru apdrošināšanas stāža gadu, kas uzkrāts līdz 1995. gada </w:t>
            </w:r>
            <w:r w:rsidRPr="00D5681D">
              <w:rPr>
                <w:sz w:val="22"/>
              </w:rPr>
              <w:lastRenderedPageBreak/>
              <w:t>31. decembrim un ņemts vērā, piešķirot (pārrēķinot) pensiju.”</w:t>
            </w:r>
          </w:p>
          <w:p w14:paraId="0D887F76" w14:textId="77777777" w:rsidR="00424639" w:rsidRPr="00704049" w:rsidRDefault="00424639" w:rsidP="00424639">
            <w:pPr>
              <w:pStyle w:val="paragraph"/>
              <w:ind w:firstLine="567"/>
              <w:contextualSpacing w:val="0"/>
              <w:jc w:val="center"/>
              <w:rPr>
                <w:color w:val="auto"/>
                <w:sz w:val="22"/>
                <w:szCs w:val="22"/>
              </w:rPr>
            </w:pPr>
          </w:p>
        </w:tc>
        <w:tc>
          <w:tcPr>
            <w:tcW w:w="1417" w:type="dxa"/>
          </w:tcPr>
          <w:p w14:paraId="488E77B5" w14:textId="77777777" w:rsidR="00424639" w:rsidRPr="009D321A" w:rsidRDefault="00695CBE" w:rsidP="00BB5154">
            <w:pPr>
              <w:pStyle w:val="paragraph"/>
              <w:ind w:firstLine="0"/>
              <w:contextualSpacing w:val="0"/>
              <w:rPr>
                <w:b/>
                <w:color w:val="auto"/>
                <w:sz w:val="22"/>
                <w:szCs w:val="22"/>
              </w:rPr>
            </w:pPr>
            <w:r w:rsidRPr="009D321A">
              <w:rPr>
                <w:b/>
                <w:color w:val="auto"/>
                <w:sz w:val="22"/>
                <w:szCs w:val="22"/>
              </w:rPr>
              <w:lastRenderedPageBreak/>
              <w:t>Neatbalstīt</w:t>
            </w:r>
          </w:p>
          <w:p w14:paraId="1C932A2E" w14:textId="77777777" w:rsidR="00695CBE" w:rsidRPr="00695CBE" w:rsidRDefault="00695CBE" w:rsidP="009D321A">
            <w:pPr>
              <w:ind w:firstLine="567"/>
              <w:jc w:val="both"/>
              <w:rPr>
                <w:lang w:eastAsia="lv-LV"/>
              </w:rPr>
            </w:pPr>
          </w:p>
        </w:tc>
        <w:tc>
          <w:tcPr>
            <w:tcW w:w="1417" w:type="dxa"/>
          </w:tcPr>
          <w:p w14:paraId="54C5EEDE" w14:textId="77777777" w:rsidR="00424639" w:rsidRPr="00704049" w:rsidRDefault="00424639" w:rsidP="00424639">
            <w:pPr>
              <w:pStyle w:val="paragraph"/>
              <w:ind w:firstLine="567"/>
              <w:contextualSpacing w:val="0"/>
              <w:jc w:val="center"/>
              <w:rPr>
                <w:color w:val="auto"/>
                <w:sz w:val="22"/>
                <w:szCs w:val="22"/>
              </w:rPr>
            </w:pPr>
          </w:p>
        </w:tc>
      </w:tr>
      <w:tr w:rsidR="00704049" w:rsidRPr="00704049" w14:paraId="79F61098" w14:textId="77777777" w:rsidTr="00424639">
        <w:tc>
          <w:tcPr>
            <w:tcW w:w="3685" w:type="dxa"/>
            <w:shd w:val="clear" w:color="auto" w:fill="auto"/>
          </w:tcPr>
          <w:p w14:paraId="14FC7663" w14:textId="77777777" w:rsidR="00424639" w:rsidRPr="00704049" w:rsidRDefault="00424639" w:rsidP="00691A94">
            <w:pPr>
              <w:pStyle w:val="tv213"/>
              <w:spacing w:before="0" w:beforeAutospacing="0" w:after="0" w:afterAutospacing="0"/>
              <w:ind w:firstLine="567"/>
              <w:jc w:val="both"/>
              <w:rPr>
                <w:sz w:val="22"/>
                <w:szCs w:val="22"/>
              </w:rPr>
            </w:pPr>
          </w:p>
        </w:tc>
        <w:tc>
          <w:tcPr>
            <w:tcW w:w="3685" w:type="dxa"/>
            <w:shd w:val="clear" w:color="auto" w:fill="auto"/>
          </w:tcPr>
          <w:p w14:paraId="34567681" w14:textId="77777777" w:rsidR="00424639" w:rsidRPr="00704049" w:rsidRDefault="00424639" w:rsidP="00691A94">
            <w:pPr>
              <w:ind w:firstLine="567"/>
              <w:jc w:val="both"/>
              <w:rPr>
                <w:sz w:val="22"/>
              </w:rPr>
            </w:pPr>
            <w:r w:rsidRPr="00704049">
              <w:rPr>
                <w:sz w:val="22"/>
              </w:rPr>
              <w:t>41.</w:t>
            </w:r>
            <w:r w:rsidRPr="00704049">
              <w:rPr>
                <w:sz w:val="22"/>
                <w:vertAlign w:val="superscript"/>
              </w:rPr>
              <w:t>8</w:t>
            </w:r>
            <w:r w:rsidRPr="00704049">
              <w:rPr>
                <w:sz w:val="22"/>
              </w:rPr>
              <w:t xml:space="preserve"> Šo pārejas noteikumu 41.</w:t>
            </w:r>
            <w:r w:rsidRPr="00704049">
              <w:rPr>
                <w:sz w:val="22"/>
                <w:vertAlign w:val="superscript"/>
              </w:rPr>
              <w:t>7</w:t>
            </w:r>
            <w:r w:rsidRPr="00704049">
              <w:rPr>
                <w:sz w:val="22"/>
              </w:rPr>
              <w:t xml:space="preserve"> punkta ievaddaļā minētajām personām piemaksas apmēru par vienu apdrošināšanas stāža gadu, kas uzkrāts līdz 1995. gada 31. decembrim un ņemts vērā, piešķirot (pārrēķinot) vecuma vai invaliditātes pensiju, piemaksas piešķiršanas gadā nosaka tādā pašā apmērā, kādu šajā gadā to saņem personas, kurām vecuma vai invaliditātes pensija un piemaksa pie tās </w:t>
            </w:r>
            <w:r w:rsidRPr="00704049">
              <w:rPr>
                <w:sz w:val="22"/>
              </w:rPr>
              <w:lastRenderedPageBreak/>
              <w:t>par katru apdrošināšanas stāža gadu piešķirta 2011. gadā. Piemaksas apmēru pārskata atbilstoši šā likuma pārejas noteikumu 41.</w:t>
            </w:r>
            <w:r w:rsidRPr="00704049">
              <w:rPr>
                <w:sz w:val="22"/>
                <w:vertAlign w:val="superscript"/>
              </w:rPr>
              <w:t>5</w:t>
            </w:r>
            <w:r w:rsidRPr="00704049">
              <w:rPr>
                <w:sz w:val="22"/>
              </w:rPr>
              <w:t xml:space="preserve"> punktam.</w:t>
            </w:r>
          </w:p>
        </w:tc>
        <w:tc>
          <w:tcPr>
            <w:tcW w:w="567" w:type="dxa"/>
          </w:tcPr>
          <w:p w14:paraId="740CF1BA" w14:textId="77777777" w:rsidR="00424639" w:rsidRPr="00704049" w:rsidRDefault="00424639" w:rsidP="00691A94">
            <w:pPr>
              <w:ind w:firstLine="567"/>
              <w:jc w:val="both"/>
              <w:rPr>
                <w:sz w:val="22"/>
              </w:rPr>
            </w:pPr>
          </w:p>
        </w:tc>
        <w:tc>
          <w:tcPr>
            <w:tcW w:w="3685" w:type="dxa"/>
          </w:tcPr>
          <w:p w14:paraId="2FA2559F" w14:textId="77777777" w:rsidR="00424639" w:rsidRPr="00704049" w:rsidRDefault="00424639" w:rsidP="00691A94">
            <w:pPr>
              <w:ind w:firstLine="567"/>
              <w:jc w:val="both"/>
              <w:rPr>
                <w:sz w:val="22"/>
              </w:rPr>
            </w:pPr>
          </w:p>
        </w:tc>
        <w:tc>
          <w:tcPr>
            <w:tcW w:w="1417" w:type="dxa"/>
          </w:tcPr>
          <w:p w14:paraId="01BB81B8" w14:textId="77777777" w:rsidR="00424639" w:rsidRPr="00704049" w:rsidRDefault="00424639" w:rsidP="00691A94">
            <w:pPr>
              <w:ind w:firstLine="567"/>
              <w:jc w:val="both"/>
              <w:rPr>
                <w:sz w:val="22"/>
              </w:rPr>
            </w:pPr>
          </w:p>
        </w:tc>
        <w:tc>
          <w:tcPr>
            <w:tcW w:w="1417" w:type="dxa"/>
          </w:tcPr>
          <w:p w14:paraId="116C11DD" w14:textId="77777777" w:rsidR="00424639" w:rsidRPr="00704049" w:rsidRDefault="00424639" w:rsidP="00691A94">
            <w:pPr>
              <w:ind w:firstLine="567"/>
              <w:jc w:val="both"/>
              <w:rPr>
                <w:sz w:val="22"/>
              </w:rPr>
            </w:pPr>
          </w:p>
        </w:tc>
      </w:tr>
      <w:tr w:rsidR="00704049" w:rsidRPr="00704049" w14:paraId="12B88DCC" w14:textId="77777777" w:rsidTr="00424639">
        <w:tc>
          <w:tcPr>
            <w:tcW w:w="3685" w:type="dxa"/>
            <w:shd w:val="clear" w:color="auto" w:fill="auto"/>
          </w:tcPr>
          <w:p w14:paraId="6FE788BC" w14:textId="77777777" w:rsidR="00424639" w:rsidRPr="00704049" w:rsidRDefault="00424639" w:rsidP="00691A94">
            <w:pPr>
              <w:pStyle w:val="tv213"/>
              <w:spacing w:before="0" w:beforeAutospacing="0" w:after="0" w:afterAutospacing="0"/>
              <w:ind w:firstLine="567"/>
              <w:jc w:val="both"/>
              <w:rPr>
                <w:sz w:val="22"/>
                <w:szCs w:val="22"/>
              </w:rPr>
            </w:pPr>
          </w:p>
        </w:tc>
        <w:tc>
          <w:tcPr>
            <w:tcW w:w="3685" w:type="dxa"/>
            <w:shd w:val="clear" w:color="auto" w:fill="auto"/>
          </w:tcPr>
          <w:p w14:paraId="20757555" w14:textId="77777777" w:rsidR="00424639" w:rsidRPr="00704049" w:rsidRDefault="00424639" w:rsidP="00691A94">
            <w:pPr>
              <w:ind w:firstLine="567"/>
              <w:jc w:val="both"/>
              <w:rPr>
                <w:sz w:val="22"/>
              </w:rPr>
            </w:pPr>
            <w:r w:rsidRPr="00704049">
              <w:rPr>
                <w:sz w:val="22"/>
              </w:rPr>
              <w:t>41.</w:t>
            </w:r>
            <w:r w:rsidRPr="00704049">
              <w:rPr>
                <w:sz w:val="22"/>
                <w:vertAlign w:val="superscript"/>
              </w:rPr>
              <w:t>9</w:t>
            </w:r>
            <w:r w:rsidRPr="00704049">
              <w:rPr>
                <w:sz w:val="22"/>
              </w:rPr>
              <w:t xml:space="preserve"> Šo pārejas noteikumu 41.</w:t>
            </w:r>
            <w:r w:rsidRPr="00704049">
              <w:rPr>
                <w:sz w:val="22"/>
                <w:vertAlign w:val="superscript"/>
              </w:rPr>
              <w:t>7</w:t>
            </w:r>
            <w:r w:rsidRPr="00704049">
              <w:rPr>
                <w:sz w:val="22"/>
              </w:rPr>
              <w:t xml:space="preserve"> punkta ievaddaļā minētajām personām, kurām no 2024. gada 1. janvāra ir tiesības uz piemaksu par apdrošināšanas stāžu, kas uzkrāts līdz 1995. gada 31. decembrim, piemaksu piešķir no 2024. gada 1. janvāra un izmaksā vienlaikus ar 2024. gada aprīlī izmaksājamo pensiju."</w:t>
            </w:r>
          </w:p>
        </w:tc>
        <w:tc>
          <w:tcPr>
            <w:tcW w:w="567" w:type="dxa"/>
          </w:tcPr>
          <w:p w14:paraId="5522FA0C" w14:textId="77777777" w:rsidR="00424639" w:rsidRPr="00704049" w:rsidRDefault="00424639" w:rsidP="00691A94">
            <w:pPr>
              <w:ind w:firstLine="567"/>
              <w:jc w:val="both"/>
              <w:rPr>
                <w:sz w:val="22"/>
              </w:rPr>
            </w:pPr>
          </w:p>
        </w:tc>
        <w:tc>
          <w:tcPr>
            <w:tcW w:w="3685" w:type="dxa"/>
          </w:tcPr>
          <w:p w14:paraId="39DF72BB" w14:textId="77777777" w:rsidR="00424639" w:rsidRPr="00704049" w:rsidRDefault="00424639" w:rsidP="00691A94">
            <w:pPr>
              <w:ind w:firstLine="567"/>
              <w:jc w:val="both"/>
              <w:rPr>
                <w:sz w:val="22"/>
              </w:rPr>
            </w:pPr>
          </w:p>
        </w:tc>
        <w:tc>
          <w:tcPr>
            <w:tcW w:w="1417" w:type="dxa"/>
          </w:tcPr>
          <w:p w14:paraId="4C4137A4" w14:textId="77777777" w:rsidR="00424639" w:rsidRPr="00704049" w:rsidRDefault="00424639" w:rsidP="00691A94">
            <w:pPr>
              <w:ind w:firstLine="567"/>
              <w:jc w:val="both"/>
              <w:rPr>
                <w:sz w:val="22"/>
              </w:rPr>
            </w:pPr>
          </w:p>
        </w:tc>
        <w:tc>
          <w:tcPr>
            <w:tcW w:w="1417" w:type="dxa"/>
          </w:tcPr>
          <w:p w14:paraId="7D0061E5" w14:textId="77777777" w:rsidR="00424639" w:rsidRPr="00704049" w:rsidRDefault="00424639" w:rsidP="00691A94">
            <w:pPr>
              <w:ind w:firstLine="567"/>
              <w:jc w:val="both"/>
              <w:rPr>
                <w:sz w:val="22"/>
              </w:rPr>
            </w:pPr>
          </w:p>
        </w:tc>
      </w:tr>
      <w:tr w:rsidR="00424639" w:rsidRPr="00704049" w14:paraId="591F3F68" w14:textId="77777777" w:rsidTr="00424639">
        <w:tc>
          <w:tcPr>
            <w:tcW w:w="3685" w:type="dxa"/>
            <w:shd w:val="clear" w:color="auto" w:fill="auto"/>
          </w:tcPr>
          <w:p w14:paraId="4D248B79" w14:textId="77777777" w:rsidR="00424639" w:rsidRPr="00704049" w:rsidRDefault="00424639" w:rsidP="00691A94">
            <w:pPr>
              <w:ind w:firstLine="567"/>
              <w:jc w:val="both"/>
              <w:rPr>
                <w:bCs/>
                <w:iCs/>
                <w:sz w:val="22"/>
                <w:u w:val="single"/>
              </w:rPr>
            </w:pPr>
          </w:p>
        </w:tc>
        <w:tc>
          <w:tcPr>
            <w:tcW w:w="3685" w:type="dxa"/>
            <w:shd w:val="clear" w:color="auto" w:fill="auto"/>
          </w:tcPr>
          <w:p w14:paraId="0E077BEC" w14:textId="77777777" w:rsidR="00424639" w:rsidRPr="00704049" w:rsidRDefault="00424639" w:rsidP="00691A94">
            <w:pPr>
              <w:pStyle w:val="paragraph"/>
              <w:ind w:firstLine="567"/>
              <w:contextualSpacing w:val="0"/>
              <w:rPr>
                <w:color w:val="auto"/>
                <w:sz w:val="22"/>
                <w:szCs w:val="22"/>
              </w:rPr>
            </w:pPr>
            <w:r w:rsidRPr="00704049">
              <w:rPr>
                <w:color w:val="auto"/>
                <w:sz w:val="22"/>
                <w:szCs w:val="22"/>
              </w:rPr>
              <w:t>Likums stājas spēkā 2024.gada 1.janvārī.</w:t>
            </w:r>
          </w:p>
        </w:tc>
        <w:tc>
          <w:tcPr>
            <w:tcW w:w="567" w:type="dxa"/>
          </w:tcPr>
          <w:p w14:paraId="5029D3D7" w14:textId="77777777" w:rsidR="00424639" w:rsidRPr="00704049" w:rsidRDefault="00424639" w:rsidP="00691A94">
            <w:pPr>
              <w:pStyle w:val="paragraph"/>
              <w:ind w:firstLine="567"/>
              <w:contextualSpacing w:val="0"/>
              <w:rPr>
                <w:color w:val="auto"/>
                <w:sz w:val="22"/>
                <w:szCs w:val="22"/>
              </w:rPr>
            </w:pPr>
          </w:p>
        </w:tc>
        <w:tc>
          <w:tcPr>
            <w:tcW w:w="3685" w:type="dxa"/>
          </w:tcPr>
          <w:p w14:paraId="6FB0C767" w14:textId="77777777" w:rsidR="00424639" w:rsidRPr="00704049" w:rsidRDefault="00424639" w:rsidP="00691A94">
            <w:pPr>
              <w:pStyle w:val="paragraph"/>
              <w:ind w:firstLine="567"/>
              <w:contextualSpacing w:val="0"/>
              <w:rPr>
                <w:color w:val="auto"/>
                <w:sz w:val="22"/>
                <w:szCs w:val="22"/>
              </w:rPr>
            </w:pPr>
          </w:p>
        </w:tc>
        <w:tc>
          <w:tcPr>
            <w:tcW w:w="1417" w:type="dxa"/>
          </w:tcPr>
          <w:p w14:paraId="6BDEB4A0" w14:textId="77777777" w:rsidR="00424639" w:rsidRPr="00704049" w:rsidRDefault="00424639" w:rsidP="00691A94">
            <w:pPr>
              <w:pStyle w:val="paragraph"/>
              <w:ind w:firstLine="567"/>
              <w:contextualSpacing w:val="0"/>
              <w:rPr>
                <w:color w:val="auto"/>
                <w:sz w:val="22"/>
                <w:szCs w:val="22"/>
              </w:rPr>
            </w:pPr>
          </w:p>
        </w:tc>
        <w:tc>
          <w:tcPr>
            <w:tcW w:w="1417" w:type="dxa"/>
          </w:tcPr>
          <w:p w14:paraId="59C441DA" w14:textId="77777777" w:rsidR="00424639" w:rsidRPr="00704049" w:rsidRDefault="00424639" w:rsidP="00691A94">
            <w:pPr>
              <w:pStyle w:val="paragraph"/>
              <w:ind w:firstLine="567"/>
              <w:contextualSpacing w:val="0"/>
              <w:rPr>
                <w:color w:val="auto"/>
                <w:sz w:val="22"/>
                <w:szCs w:val="22"/>
              </w:rPr>
            </w:pPr>
          </w:p>
        </w:tc>
      </w:tr>
      <w:bookmarkEnd w:id="1"/>
    </w:tbl>
    <w:p w14:paraId="1ED0523F" w14:textId="77777777" w:rsidR="00424639" w:rsidRPr="00704049" w:rsidRDefault="00424639" w:rsidP="00424639">
      <w:pPr>
        <w:ind w:firstLine="567"/>
      </w:pPr>
    </w:p>
    <w:p w14:paraId="38F01015" w14:textId="77777777" w:rsidR="00424639" w:rsidRPr="00704049" w:rsidRDefault="00424639" w:rsidP="00424639"/>
    <w:p w14:paraId="6CA5BD42" w14:textId="77777777" w:rsidR="00424639" w:rsidRPr="00704049" w:rsidRDefault="00424639" w:rsidP="00424639"/>
    <w:p w14:paraId="2D5A7FB1" w14:textId="77777777" w:rsidR="00424639" w:rsidRPr="00704049" w:rsidRDefault="00424639" w:rsidP="00424639"/>
    <w:p w14:paraId="03E186BE" w14:textId="77777777" w:rsidR="005D4711" w:rsidRPr="00704049" w:rsidRDefault="005D4711"/>
    <w:sectPr w:rsidR="005D4711" w:rsidRPr="00704049" w:rsidSect="00495B31">
      <w:footerReference w:type="even" r:id="rId6"/>
      <w:footerReference w:type="default" r:id="rId7"/>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BC2BB" w14:textId="77777777" w:rsidR="00E67236" w:rsidRDefault="000C78D8">
      <w:r>
        <w:separator/>
      </w:r>
    </w:p>
  </w:endnote>
  <w:endnote w:type="continuationSeparator" w:id="0">
    <w:p w14:paraId="32794F0A" w14:textId="77777777" w:rsidR="00E67236" w:rsidRDefault="000C7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FD43B" w14:textId="77777777" w:rsidR="0016096E" w:rsidRDefault="00424639"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AD9DE5" w14:textId="77777777" w:rsidR="0016096E" w:rsidRDefault="0016096E"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580F2" w14:textId="77777777" w:rsidR="0016096E" w:rsidRDefault="00424639"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07CF0">
      <w:rPr>
        <w:rStyle w:val="PageNumber"/>
        <w:noProof/>
      </w:rPr>
      <w:t>2</w:t>
    </w:r>
    <w:r>
      <w:rPr>
        <w:rStyle w:val="PageNumber"/>
      </w:rPr>
      <w:fldChar w:fldCharType="end"/>
    </w:r>
  </w:p>
  <w:p w14:paraId="7FE0B6B3" w14:textId="77777777" w:rsidR="0016096E" w:rsidRDefault="0016096E"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AC78A" w14:textId="77777777" w:rsidR="00E67236" w:rsidRDefault="000C78D8">
      <w:r>
        <w:separator/>
      </w:r>
    </w:p>
  </w:footnote>
  <w:footnote w:type="continuationSeparator" w:id="0">
    <w:p w14:paraId="7D03F51C" w14:textId="77777777" w:rsidR="00E67236" w:rsidRDefault="000C78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639"/>
    <w:rsid w:val="000C78D8"/>
    <w:rsid w:val="0016096E"/>
    <w:rsid w:val="00424639"/>
    <w:rsid w:val="005D4711"/>
    <w:rsid w:val="00695CBE"/>
    <w:rsid w:val="00704049"/>
    <w:rsid w:val="00707CF0"/>
    <w:rsid w:val="00880588"/>
    <w:rsid w:val="00937F91"/>
    <w:rsid w:val="009D321A"/>
    <w:rsid w:val="00BB5154"/>
    <w:rsid w:val="00D910F7"/>
    <w:rsid w:val="00DA6377"/>
    <w:rsid w:val="00E672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F2FFA"/>
  <w15:chartTrackingRefBased/>
  <w15:docId w15:val="{AA07209F-7C14-4AE1-92A9-905119E3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639"/>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424639"/>
    <w:rPr>
      <w:i/>
      <w:iCs/>
    </w:rPr>
  </w:style>
  <w:style w:type="paragraph" w:styleId="Footer">
    <w:name w:val="footer"/>
    <w:basedOn w:val="Normal"/>
    <w:link w:val="FooterChar"/>
    <w:rsid w:val="00424639"/>
    <w:pPr>
      <w:tabs>
        <w:tab w:val="center" w:pos="4153"/>
        <w:tab w:val="right" w:pos="8306"/>
      </w:tabs>
    </w:pPr>
    <w:rPr>
      <w:rFonts w:eastAsia="Times New Roman"/>
      <w:szCs w:val="24"/>
      <w:lang w:val="en-GB"/>
    </w:rPr>
  </w:style>
  <w:style w:type="character" w:customStyle="1" w:styleId="FooterChar">
    <w:name w:val="Footer Char"/>
    <w:basedOn w:val="DefaultParagraphFont"/>
    <w:link w:val="Footer"/>
    <w:rsid w:val="00424639"/>
    <w:rPr>
      <w:rFonts w:eastAsia="Times New Roman" w:cs="Times New Roman"/>
      <w:szCs w:val="24"/>
      <w:lang w:val="en-GB"/>
    </w:rPr>
  </w:style>
  <w:style w:type="character" w:styleId="PageNumber">
    <w:name w:val="page number"/>
    <w:rsid w:val="00424639"/>
  </w:style>
  <w:style w:type="paragraph" w:customStyle="1" w:styleId="naisvisr">
    <w:name w:val="naisvisr"/>
    <w:basedOn w:val="Normal"/>
    <w:rsid w:val="00424639"/>
    <w:pPr>
      <w:spacing w:before="100" w:beforeAutospacing="1" w:after="100" w:afterAutospacing="1"/>
    </w:pPr>
    <w:rPr>
      <w:rFonts w:eastAsia="Times New Roman"/>
      <w:szCs w:val="24"/>
      <w:lang w:eastAsia="lv-LV"/>
    </w:rPr>
  </w:style>
  <w:style w:type="paragraph" w:customStyle="1" w:styleId="paragraphheader">
    <w:name w:val="paragraph_header"/>
    <w:basedOn w:val="Normal"/>
    <w:next w:val="Normal"/>
    <w:rsid w:val="00424639"/>
    <w:pPr>
      <w:spacing w:before="280" w:after="280"/>
      <w:contextualSpacing/>
      <w:jc w:val="both"/>
    </w:pPr>
    <w:rPr>
      <w:rFonts w:eastAsia="Times New Roman"/>
      <w:color w:val="333333"/>
      <w:sz w:val="28"/>
      <w:szCs w:val="20"/>
      <w:lang w:eastAsia="lv-LV"/>
    </w:rPr>
  </w:style>
  <w:style w:type="paragraph" w:customStyle="1" w:styleId="paragraph">
    <w:name w:val="paragraph"/>
    <w:basedOn w:val="Normal"/>
    <w:next w:val="Normal"/>
    <w:rsid w:val="00424639"/>
    <w:pPr>
      <w:ind w:firstLine="705"/>
      <w:contextualSpacing/>
      <w:jc w:val="both"/>
    </w:pPr>
    <w:rPr>
      <w:rFonts w:eastAsia="Times New Roman"/>
      <w:color w:val="333333"/>
      <w:sz w:val="28"/>
      <w:szCs w:val="20"/>
      <w:lang w:eastAsia="lv-LV"/>
    </w:rPr>
  </w:style>
  <w:style w:type="paragraph" w:customStyle="1" w:styleId="tv213">
    <w:name w:val="tv213"/>
    <w:basedOn w:val="Normal"/>
    <w:rsid w:val="00424639"/>
    <w:pPr>
      <w:spacing w:before="100" w:beforeAutospacing="1" w:after="100" w:afterAutospacing="1"/>
    </w:pPr>
    <w:rPr>
      <w:rFonts w:eastAsia="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6061</Words>
  <Characters>3455</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Vizma Casno</dc:creator>
  <cp:keywords/>
  <dc:description/>
  <cp:lastModifiedBy>BMN</cp:lastModifiedBy>
  <cp:revision>3</cp:revision>
  <dcterms:created xsi:type="dcterms:W3CDTF">2023-11-23T10:17:00Z</dcterms:created>
  <dcterms:modified xsi:type="dcterms:W3CDTF">2023-11-23T10:31:00Z</dcterms:modified>
</cp:coreProperties>
</file>