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septembra noteikumos Nr. 899 "Likuma "Par iedzīvotāju ienākuma nodokli" normu piemērošanas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iedzīvotāju ienākuma nodokli</w:t>
            </w:r>
            <w:r w:rsidR="00000000" w:rsidRPr="00000000" w:rsidDel="00000000">
              <w:rPr>
                <w:rtl w:val="0"/>
              </w:rPr>
              <w:t xml:space="preserve">" 8. panta otro daļu, 8.</w:t>
            </w:r>
            <w:r w:rsidR="00000000" w:rsidRPr="00000000" w:rsidDel="00000000">
              <w:rPr>
                <w:vertAlign w:val="superscript"/>
                <w:rtl w:val="0"/>
              </w:rPr>
              <w:t xml:space="preserve">1</w:t>
            </w:r>
            <w:r w:rsidR="00000000" w:rsidRPr="00000000" w:rsidDel="00000000">
              <w:rPr>
                <w:rtl w:val="0"/>
              </w:rPr>
              <w:t xml:space="preserve"> panta piekto daļu, 9. panta pirmās daļas 16. un 17. punktu un 44. punkta "a" apakšpunktu, 10. panta pirmās daļas 4. punktu, 11. panta trešās daļas 15. punktu un 3.</w:t>
            </w:r>
            <w:r w:rsidR="00000000" w:rsidRPr="00000000" w:rsidDel="00000000">
              <w:rPr>
                <w:vertAlign w:val="superscript"/>
                <w:rtl w:val="0"/>
              </w:rPr>
              <w:t xml:space="preserve">5</w:t>
            </w:r>
            <w:r w:rsidR="00000000" w:rsidRPr="00000000" w:rsidDel="00000000">
              <w:rPr>
                <w:rtl w:val="0"/>
              </w:rPr>
              <w:t xml:space="preserve"> daļu, 11.</w:t>
            </w:r>
            <w:r w:rsidR="00000000" w:rsidRPr="00000000" w:rsidDel="00000000">
              <w:rPr>
                <w:vertAlign w:val="superscript"/>
                <w:rtl w:val="0"/>
              </w:rPr>
              <w:t xml:space="preserve">5</w:t>
            </w:r>
            <w:r w:rsidR="00000000" w:rsidRPr="00000000" w:rsidDel="00000000">
              <w:rPr>
                <w:rtl w:val="0"/>
              </w:rPr>
              <w:t xml:space="preserve"> panta pirmo daļu, 11.</w:t>
            </w:r>
            <w:r w:rsidR="00000000" w:rsidRPr="00000000" w:rsidDel="00000000">
              <w:rPr>
                <w:vertAlign w:val="superscript"/>
                <w:rtl w:val="0"/>
              </w:rPr>
              <w:t xml:space="preserve">11</w:t>
            </w:r>
            <w:r w:rsidR="00000000" w:rsidRPr="00000000" w:rsidDel="00000000">
              <w:rPr>
                <w:rtl w:val="0"/>
              </w:rPr>
              <w:t xml:space="preserve"> panta ceturto daļu, 11.</w:t>
            </w:r>
            <w:r w:rsidR="00000000" w:rsidRPr="00000000" w:rsidDel="00000000">
              <w:rPr>
                <w:vertAlign w:val="superscript"/>
                <w:rtl w:val="0"/>
              </w:rPr>
              <w:t xml:space="preserve">13</w:t>
            </w:r>
            <w:r w:rsidR="00000000" w:rsidRPr="00000000" w:rsidDel="00000000">
              <w:rPr>
                <w:rtl w:val="0"/>
              </w:rPr>
              <w:t xml:space="preserve">panta piecpadsmito daļu, 16.</w:t>
            </w:r>
            <w:r w:rsidR="00000000" w:rsidRPr="00000000" w:rsidDel="00000000">
              <w:rPr>
                <w:vertAlign w:val="superscript"/>
                <w:rtl w:val="0"/>
              </w:rPr>
              <w:t xml:space="preserve">1 </w:t>
            </w:r>
            <w:r w:rsidR="00000000" w:rsidRPr="00000000" w:rsidDel="00000000">
              <w:rPr>
                <w:rtl w:val="0"/>
              </w:rPr>
              <w:t xml:space="preserve">panta ceturto daļu, 17. panta vienpadsmitās daļas 2. punktu un 11.</w:t>
            </w:r>
            <w:r w:rsidR="00000000" w:rsidRPr="00000000" w:rsidDel="00000000">
              <w:rPr>
                <w:vertAlign w:val="superscript"/>
                <w:rtl w:val="0"/>
              </w:rPr>
              <w:t xml:space="preserve">5</w:t>
            </w:r>
            <w:r w:rsidR="00000000" w:rsidRPr="00000000" w:rsidDel="00000000">
              <w:rPr>
                <w:rtl w:val="0"/>
              </w:rPr>
              <w:t xml:space="preserve"> daļas 3. punktu, 38. panta otro daļu un 39.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 punktā ietvertajā Noteikumu izdošanas tiesiskajā pamatā svītrot atsauci uz likuma "Par iedzīvotāju ienākuma nodokli" 11.</w:t>
            </w:r>
            <w:r w:rsidR="00000000" w:rsidRPr="00000000" w:rsidDel="00000000">
              <w:rPr>
                <w:vertAlign w:val="superscript"/>
                <w:rtl w:val="0"/>
              </w:rPr>
              <w:t xml:space="preserve">5</w:t>
            </w:r>
            <w:r w:rsidR="00000000" w:rsidRPr="00000000" w:rsidDel="00000000">
              <w:rPr>
                <w:rtl w:val="0"/>
              </w:rPr>
              <w:t xml:space="preserve"> panta pirmo daļu, ņemot vērā to, ka tajā nav ietverts pilnvarojums Ministru kabinetam izdot noteikumus, bet dota atsauce uz Ministru kabineta noteikumiem. Vēršam uzmanību, ka attiecīgais pilnvarojums Ministru kabinetam noteikt nepieciešamo regulējumu ietverts likuma "Par iedzīvotāju ienākuma nodokli" 39. panta 11.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iedzīvotāju ienākuma nodokli</w:t>
            </w:r>
            <w:r w:rsidR="00000000" w:rsidRPr="00000000" w:rsidDel="00000000">
              <w:rPr>
                <w:rtl w:val="0"/>
              </w:rPr>
              <w:t xml:space="preserve">" 8. panta otro daļu, 8.</w:t>
            </w:r>
            <w:r w:rsidR="00000000" w:rsidRPr="00000000" w:rsidDel="00000000">
              <w:rPr>
                <w:vertAlign w:val="superscript"/>
                <w:rtl w:val="0"/>
              </w:rPr>
              <w:t xml:space="preserve">1</w:t>
            </w:r>
            <w:r w:rsidR="00000000" w:rsidRPr="00000000" w:rsidDel="00000000">
              <w:rPr>
                <w:rtl w:val="0"/>
              </w:rPr>
              <w:t xml:space="preserve"> panta piekto daļu, 9. panta pirmās daļas 16. un 17. punktu un 44. punkta "a" apakšpunktu, 10. panta pirmās daļas 4. punktu, 11. panta trešās daļas 15. punktu un 3.</w:t>
            </w:r>
            <w:r w:rsidR="00000000" w:rsidRPr="00000000" w:rsidDel="00000000">
              <w:rPr>
                <w:vertAlign w:val="superscript"/>
                <w:rtl w:val="0"/>
              </w:rPr>
              <w:t xml:space="preserve">5</w:t>
            </w:r>
            <w:r w:rsidR="00000000" w:rsidRPr="00000000" w:rsidDel="00000000">
              <w:rPr>
                <w:rtl w:val="0"/>
              </w:rPr>
              <w:t xml:space="preserve"> daļu, 11.</w:t>
            </w:r>
            <w:r w:rsidR="00000000" w:rsidRPr="00000000" w:rsidDel="00000000">
              <w:rPr>
                <w:vertAlign w:val="superscript"/>
                <w:rtl w:val="0"/>
              </w:rPr>
              <w:t xml:space="preserve">11</w:t>
            </w:r>
            <w:r w:rsidR="00000000" w:rsidRPr="00000000" w:rsidDel="00000000">
              <w:rPr>
                <w:rtl w:val="0"/>
              </w:rPr>
              <w:t xml:space="preserve"> panta ceturto daļu, 11.</w:t>
            </w:r>
            <w:r w:rsidR="00000000" w:rsidRPr="00000000" w:rsidDel="00000000">
              <w:rPr>
                <w:vertAlign w:val="superscript"/>
                <w:rtl w:val="0"/>
              </w:rPr>
              <w:t xml:space="preserve">13</w:t>
            </w:r>
            <w:r w:rsidR="00000000" w:rsidRPr="00000000" w:rsidDel="00000000">
              <w:rPr>
                <w:rtl w:val="0"/>
              </w:rPr>
              <w:t xml:space="preserve">panta piecpadsmito daļu, 16.</w:t>
            </w:r>
            <w:r w:rsidR="00000000" w:rsidRPr="00000000" w:rsidDel="00000000">
              <w:rPr>
                <w:vertAlign w:val="superscript"/>
                <w:rtl w:val="0"/>
              </w:rPr>
              <w:t xml:space="preserve">1 </w:t>
            </w:r>
            <w:r w:rsidR="00000000" w:rsidRPr="00000000" w:rsidDel="00000000">
              <w:rPr>
                <w:rtl w:val="0"/>
              </w:rPr>
              <w:t xml:space="preserve">panta ceturto daļu, 17. panta vienpadsmitās daļas 2. punktu un 11.</w:t>
            </w:r>
            <w:r w:rsidR="00000000" w:rsidRPr="00000000" w:rsidDel="00000000">
              <w:rPr>
                <w:vertAlign w:val="superscript"/>
                <w:rtl w:val="0"/>
              </w:rPr>
              <w:t xml:space="preserve">5</w:t>
            </w:r>
            <w:r w:rsidR="00000000" w:rsidRPr="00000000" w:rsidDel="00000000">
              <w:rPr>
                <w:rtl w:val="0"/>
              </w:rPr>
              <w:t xml:space="preserve"> daļas 3. punktu, 38. panta otro daļu un 39.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iedzīvotāju ienākuma nodokli</w:t>
            </w:r>
            <w:r w:rsidR="00000000" w:rsidRPr="00000000" w:rsidDel="00000000">
              <w:rPr>
                <w:rtl w:val="0"/>
              </w:rPr>
              <w:t xml:space="preserve">" 3. panta trešās daļas 12. punkta "a" apakšpunktu, 8. panta otro daļu, 8.</w:t>
            </w:r>
            <w:r w:rsidR="00000000" w:rsidRPr="00000000" w:rsidDel="00000000">
              <w:rPr>
                <w:vertAlign w:val="superscript"/>
                <w:rtl w:val="0"/>
              </w:rPr>
              <w:t xml:space="preserve">1</w:t>
            </w:r>
            <w:r w:rsidR="00000000" w:rsidRPr="00000000" w:rsidDel="00000000">
              <w:rPr>
                <w:rtl w:val="0"/>
              </w:rPr>
              <w:t xml:space="preserve">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panta pirmās daļas 16. un 17. punktu un 44. punkta "a" apakšpunktu, 10. panta pirmās daļas 4. punktu, 11. panta trešās daļas 15. punktu un 3.</w:t>
            </w:r>
            <w:r w:rsidR="00000000" w:rsidRPr="00000000" w:rsidDel="00000000">
              <w:rPr>
                <w:vertAlign w:val="superscript"/>
                <w:rtl w:val="0"/>
              </w:rPr>
              <w:t xml:space="preserve">5</w:t>
            </w:r>
            <w:r w:rsidR="00000000" w:rsidRPr="00000000" w:rsidDel="00000000">
              <w:rPr>
                <w:rtl w:val="0"/>
              </w:rPr>
              <w:t xml:space="preserve"> daļu, 11.</w:t>
            </w:r>
            <w:r w:rsidR="00000000" w:rsidRPr="00000000" w:rsidDel="00000000">
              <w:rPr>
                <w:vertAlign w:val="superscript"/>
                <w:rtl w:val="0"/>
              </w:rPr>
              <w:t xml:space="preserve">5</w:t>
            </w:r>
            <w:r w:rsidR="00000000" w:rsidRPr="00000000" w:rsidDel="00000000">
              <w:rPr>
                <w:rtl w:val="0"/>
              </w:rPr>
              <w:t xml:space="preserve"> panta pirmo daļu, 11.</w:t>
            </w:r>
            <w:r w:rsidR="00000000" w:rsidRPr="00000000" w:rsidDel="00000000">
              <w:rPr>
                <w:vertAlign w:val="superscript"/>
                <w:rtl w:val="0"/>
              </w:rPr>
              <w:t xml:space="preserve">11</w:t>
            </w:r>
            <w:r w:rsidR="00000000" w:rsidRPr="00000000" w:rsidDel="00000000">
              <w:rPr>
                <w:rtl w:val="0"/>
              </w:rPr>
              <w:t xml:space="preserve"> panta ceturto daļu, 11.</w:t>
            </w:r>
            <w:r w:rsidR="00000000" w:rsidRPr="00000000" w:rsidDel="00000000">
              <w:rPr>
                <w:vertAlign w:val="superscript"/>
                <w:rtl w:val="0"/>
              </w:rPr>
              <w:t xml:space="preserve">13</w:t>
            </w:r>
            <w:r w:rsidR="00000000" w:rsidRPr="00000000" w:rsidDel="00000000">
              <w:rPr>
                <w:rtl w:val="0"/>
              </w:rPr>
              <w:t xml:space="preserve">panta piecpadsmito daļu, 16.</w:t>
            </w:r>
            <w:r w:rsidR="00000000" w:rsidRPr="00000000" w:rsidDel="00000000">
              <w:rPr>
                <w:vertAlign w:val="superscript"/>
                <w:rtl w:val="0"/>
              </w:rPr>
              <w:t xml:space="preserve">1 </w:t>
            </w:r>
            <w:r w:rsidR="00000000" w:rsidRPr="00000000" w:rsidDel="00000000">
              <w:rPr>
                <w:rtl w:val="0"/>
              </w:rPr>
              <w:t xml:space="preserve">panta ceturto daļu, 17. panta vienpadsmitās daļas 2. punktu un 11.</w:t>
            </w:r>
            <w:r w:rsidR="00000000" w:rsidRPr="00000000" w:rsidDel="00000000">
              <w:rPr>
                <w:vertAlign w:val="superscript"/>
                <w:rtl w:val="0"/>
              </w:rPr>
              <w:t xml:space="preserve">5</w:t>
            </w:r>
            <w:r w:rsidR="00000000" w:rsidRPr="00000000" w:rsidDel="00000000">
              <w:rPr>
                <w:rtl w:val="0"/>
              </w:rPr>
              <w:t xml:space="preserve"> daļas 3. punktu, 38. panta otro daļu un 39.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"Grozījumi Ministru kabineta 2010. gada 21. septembra noteikumos Nr. 899 "Likuma "Par iedzīvotāju ienākuma nodokli" normu piemērošanas kārtība"" (turpmāk – projekts) 1. punktā ietvertajā Ministru kabineta 2010. gada 21. septembra noteikumu Nr. 899 "Likuma "Par iedzīvotāju ienākuma nodokli" normu piemērošanas kārtība" (turpmāk – Noteikumi) izdošanas tiesiskajā pamatā svītrot atsauci uz likuma "Par iedzīvotāju ienākuma nodokli" 3. panta trešās daļas 12. punkta a) apakšpunktu, 8. panta otro daļu un 9. panta pirmās daļas 17. punktu, ņemot vērā to, ka šajās normās nav dots pilnvarojums Ministru kabinetam izdot ārēju normatīvo aktu. Vēršam uzmanību uz to, ka noteikumu projekta izdošanas tiesiskajā pamatā ietverams tikai to likuma vienību uzskaitījums, kurās Ministru kabinets pilnvarots izdot attiecīgos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Likuma “Par iedzīvotāju ienākuma nodokli” (turpmāk – Likums) 3.panta trešās daļas 12.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21. septembra noteikumos Nr. 899 "Likuma "Par iedzīvotāju ienākuma nodokli" normu piemērošanas kārtība"" (turpmāk – MK noteikumi Nr.899)  1. punktā ietvertajā atsauce uz Likuma 3. panta trešās daļas 12. punkta “a” apakšpunktu ir izslēgta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Likuma 8.panta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8.panta otrajā daļā ir dots pilnvarojums Ministru kabinetam (…atbilstoši Ministru kabineta noteikumiem…). Šāds pilnvarojums tika iekļauts Likuma grozījumos, kas pieņemti 1997.gada 20.novembrī un stājās spēkā 1997.gada 19.decembrī. Tādējādi, ja minētais pilnvarojums jāprecizē tādā veidā, kādu to iekļauj pašlaik izstrādātajos normatīvajos aktos, to iespējams izdarīt, veicot kārtējos grozījumus Likumā, bet pašlaik šo pilnvarojumu nevar izslēgt, jo pretējā gadījumā neregulēts paliek līdz šim MK noteikumos Nr.899 atrunātais jautājums par dažāda veida darbinieka ienākumiem (naudā u.c. lietās), kas ir apliekami ar algas nodokli, kā arī par ienākumiem, kas neveido algas nodokļa bāzi. Līdz ar to, minētais pilnvarojums tiks precizēts, veicot kārtējos grozījumus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Likuma 9.panta pirmās daļas 17.punktu.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pirmās daļas 17.punkta redakcija “ar Ministru kabineta lēmumu noteiktā apgāde natūrā, kā arī summas, kas izmaksātas šīs apgādes vietā” stājās spēkā 1995.gada 4.jūlija (Likuma grozījumi tika pieņemti 1995.gada 31.maijā) un līdz šim brīdim nav grozīta. Minētajā normā ir iekļauta atsauce uz Ministru kabineta lēmumu un, ņemot vērā, ka šī norma ir spēkā jau no 1995.gada 4.jūlija, normā minētais Ministru kabineta lēmums pēc būtības ir pielīdzināms Ministru kabineta pilnvarojumam, kādu iekļauj šobrīd jaunizstrādātajos normatīvajos aktos. Tādējādi, ja minētais pilnvarojums jāprecizē tādā veidā, kādu to iekļauj pašlaik izstrādātajos normatīvajos aktos un deleģējumā jāveic atsauce uz Ministru kabineta noteikumiem, to iespējams izdarīt, veicot kārtējos grozījumus Likumā, bet pašlaik šo pilnvarojumu nevar izslēgt, jo pretējā gadījumā neregulēts paliek līdz šim MK noteikumos Nr.899 atrunātais jautājums par atbrīvojumu no iedzīvotāju ienākuma nodokļa apgādei natūrā kuģu komandu locekļu ēdināšanās izdevumu normu, kas nav apliekama ar iedzīvotāju ienākuma nodokli. Līdz ar to, minētais pilnvarojums tiks precizēts, veicot kārtējos grozījumus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iedzīvotāju ienākuma nodokli</w:t>
            </w:r>
            <w:r w:rsidR="00000000" w:rsidRPr="00000000" w:rsidDel="00000000">
              <w:rPr>
                <w:rtl w:val="0"/>
              </w:rPr>
              <w:t xml:space="preserve">" 8. panta otro daļu, 8.</w:t>
            </w:r>
            <w:r w:rsidR="00000000" w:rsidRPr="00000000" w:rsidDel="00000000">
              <w:rPr>
                <w:vertAlign w:val="superscript"/>
                <w:rtl w:val="0"/>
              </w:rPr>
              <w:t xml:space="preserve">1</w:t>
            </w:r>
            <w:r w:rsidR="00000000" w:rsidRPr="00000000" w:rsidDel="00000000">
              <w:rPr>
                <w:rtl w:val="0"/>
              </w:rPr>
              <w:t xml:space="preserve"> panta piekto daļu, 9. panta pirmās daļas 16. un 17. punktu un 44. punkta "a" apakšpunktu, 10. panta pirmās daļas 4. punktu, 11. panta trešās daļas 15. punktu un 3.</w:t>
            </w:r>
            <w:r w:rsidR="00000000" w:rsidRPr="00000000" w:rsidDel="00000000">
              <w:rPr>
                <w:vertAlign w:val="superscript"/>
                <w:rtl w:val="0"/>
              </w:rPr>
              <w:t xml:space="preserve">5</w:t>
            </w:r>
            <w:r w:rsidR="00000000" w:rsidRPr="00000000" w:rsidDel="00000000">
              <w:rPr>
                <w:rtl w:val="0"/>
              </w:rPr>
              <w:t xml:space="preserve"> daļu, 11.</w:t>
            </w:r>
            <w:r w:rsidR="00000000" w:rsidRPr="00000000" w:rsidDel="00000000">
              <w:rPr>
                <w:vertAlign w:val="superscript"/>
                <w:rtl w:val="0"/>
              </w:rPr>
              <w:t xml:space="preserve">11</w:t>
            </w:r>
            <w:r w:rsidR="00000000" w:rsidRPr="00000000" w:rsidDel="00000000">
              <w:rPr>
                <w:rtl w:val="0"/>
              </w:rPr>
              <w:t xml:space="preserve"> panta ceturto daļu, 11.</w:t>
            </w:r>
            <w:r w:rsidR="00000000" w:rsidRPr="00000000" w:rsidDel="00000000">
              <w:rPr>
                <w:vertAlign w:val="superscript"/>
                <w:rtl w:val="0"/>
              </w:rPr>
              <w:t xml:space="preserve">13</w:t>
            </w:r>
            <w:r w:rsidR="00000000" w:rsidRPr="00000000" w:rsidDel="00000000">
              <w:rPr>
                <w:rtl w:val="0"/>
              </w:rPr>
              <w:t xml:space="preserve">panta piecpadsmito daļu, 16.</w:t>
            </w:r>
            <w:r w:rsidR="00000000" w:rsidRPr="00000000" w:rsidDel="00000000">
              <w:rPr>
                <w:vertAlign w:val="superscript"/>
                <w:rtl w:val="0"/>
              </w:rPr>
              <w:t xml:space="preserve">1 </w:t>
            </w:r>
            <w:r w:rsidR="00000000" w:rsidRPr="00000000" w:rsidDel="00000000">
              <w:rPr>
                <w:rtl w:val="0"/>
              </w:rPr>
              <w:t xml:space="preserve">panta ceturto daļu, 17. panta vienpadsmitās daļas 2. punktu un 11.</w:t>
            </w:r>
            <w:r w:rsidR="00000000" w:rsidRPr="00000000" w:rsidDel="00000000">
              <w:rPr>
                <w:vertAlign w:val="superscript"/>
                <w:rtl w:val="0"/>
              </w:rPr>
              <w:t xml:space="preserve">5</w:t>
            </w:r>
            <w:r w:rsidR="00000000" w:rsidRPr="00000000" w:rsidDel="00000000">
              <w:rPr>
                <w:rtl w:val="0"/>
              </w:rPr>
              <w:t xml:space="preserve"> daļas 3. punktu, 38. panta otro daļu un 39.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atsevišķu likuma "Par iedzīvotāju ienākuma nodokli" (turpmāk – likums) normu piemērošanas kārtību attiecībā uz likumā lietotajiem terminiem un ar iedzīvotāju ienākuma nodokli (turpmāk – nodoklis) apliekamā ienākuma noteikšanas kārtības dažādiem aspektiem,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paredz, ka noteikumu projekta pirmajā punktā secīgi raksta vārdus "noteikumi nosaka" un likumā noteikto pilnvarojumu Ministru kabinetam. Ņemot vērā minēto, lūdzam attiecīgi precizēt Noteikumu 1. punktu, tostarp, projekta 2. punktā ietverto Noteikumu 1.14.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jaunā redakcijā Ministru kabineta 2010. gada 21. septembra noteikumu Nr. 899 "Likuma "Par iedzīvotāju ienākuma nodokli" normu piemērošanas kārtība"" 1.punktu atbilstoši Ministru kabineta 2009.gada 3.februāra noteikumu Nr.108 "Normatīvo aktu projektu sagatavošanas noteikumi" 100.punktā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ienākuma un izdevumu atzīšanas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 punktā ietverto Noteikumu 1.3. apakšpunktu papildināt ar likuma "Par iedzīvotāju ienākuma nodokli" 39. panta 3. punktā ietverto piebildi "ja tas nav noteikts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ienākuma un izdevumu atzīšanas brīdi, ja tas nav noteikts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informatīvo deklarāciju (pārskatu, paziņojumu un citu likuma piemērošanai nepieciešamo dokumentu) veidlapu formu un to aizpildīšanas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punktā ietverto Noteikumu 1.5. apakšpunktu atbilstoši likuma "Par iedzīvotāju ienākuma nodokli" 38. panta otrajā daļā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gada ienākumu deklarācijas un deklarācijas par ienākumu no kapitāla (nodokļu deklarācijas) ir iekļautas citos Ministru kabineta noteikumos - </w:t>
            </w:r>
            <w:r w:rsidR="00000000" w:rsidRPr="00000000" w:rsidDel="00000000">
              <w:rPr>
                <w:rtl w:val="0"/>
              </w:rPr>
              <w:t xml:space="preserve">Ministru kabineta 2018.gada 30.oktobra noteikumi Nr.662 "Noteikumi par iedzīvotāju ienākuma nodokļa deklarācijām un to aizpildīšanas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informatīvo deklarāciju (pārskatu, paziņojumu un citu likuma piemērošanai nepieciešamo dokumentu, izņemot paziņojuma par fiziskajai personai izmaksātajām summām) veidlapu formu un to izpildīšanas kārtību likuma izpildes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kārtību un veidlapas, kādā Valsts ieņēmumu dienestam tiek sniegta informācija par fiziskai personai izsniegtajiem aizdevumiem;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punktā ietverto Noteikumu 1.6. apakšpunktu atbilstoši likuma "Par iedzīvotāju ienākuma nodokli" 8.</w:t>
            </w:r>
            <w:r w:rsidR="00000000" w:rsidRPr="00000000" w:rsidDel="00000000">
              <w:rPr>
                <w:vertAlign w:val="superscript"/>
                <w:rtl w:val="0"/>
              </w:rPr>
              <w:t xml:space="preserve">1</w:t>
            </w:r>
            <w:r w:rsidR="00000000" w:rsidRPr="00000000" w:rsidDel="00000000">
              <w:rPr>
                <w:rtl w:val="0"/>
              </w:rPr>
              <w:t xml:space="preserve"> panta piektajā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ieņēmumu dienestam sniedzamo informāciju par viena aizdevēja taksācijas gada laikā fiziskajai personai izsniegtajiem aizdevumiem, kā arī informāciju par noslēgto aizdevuma līgumu un aizdevuma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darbinieka uz pašreizējo vai iepriekšējo darba attiecību pamata taksācijas gadā gūtos ienākumus, par kuriem jāmaksā algas nodoklis;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punktā ietverto Noteikumu 1.8. apakšpunktu atbilstoši likuma "Par iedzīvotāju ienākuma nodokli" 8. panta otrajā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ienākumus (darba alga, prēmijas, vienreizēja un sistemātiska atlīdzība un citi ienākumi), ko darbinieks saņem uz pašreizējo vai iepriekšējo darba attiecību pamata komercsabiedrībās, kooperatīvajās sabiedrībās, Eiropas komercsabiedrībās, Eiropas kooperatīvajās sabiedrībās, Eiropas ekonomisko interešu grupās, valsts un pašvaldību iestādēs, biedrībās, nodibinājumos, individuālajos uzņēmumos, zemnieku vai zvejnieku saimniecībās, organizācijās un no fiziskajām personām (arī individuālā komersanta), kā arī atlīdzība par valsts dienesta pienākumu izpildi un ienākumi no cita darba līguma izpildes, un par kuriem ir jāmaksā algas nodoklis;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kompensāciju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punktā ietverto Noteikumu 1.10. apakšpunktu atbilstoši likuma "Par iedzīvotāju ienākuma nodokli" 9. panta pirmās daļas 16.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kompensāciju izmaksas, izņemot kompensāciju par neizmantoto atvaļinājumu un likumos un citos Ministru kabineta noteikumos noteiktās kompensāciju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fiziskās personas ar saimniecisko darbību saistītos izdevumus, par kuriem, nosakot apliekamo ienākumu, atļauts samazināt apliekamo ienākumu;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punktā ietverto Noteikumu 1.16. apakšpunktu atbilstoši likuma "Par iedzīvotāju ienākuma nodokli" 11. panta trešās daļas 15.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citus saimnieciskās darbības veicēja izdevumus, kas saistīti ar saimniecisko darbību un nepieciešami tās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autoru darbu un izpildījumu veidus un nosacīto izdevumu piemērošanas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punktā ietverto Noteikumu 1.19. apakšpunktu atbilstoši likuma "Par iedzīvotāju ienākuma nodokli" 10. panta pirmās daļas 4. punktā un 11. panta 3.</w:t>
            </w:r>
            <w:r w:rsidR="00000000" w:rsidRPr="00000000" w:rsidDel="00000000">
              <w:rPr>
                <w:vertAlign w:val="superscript"/>
                <w:rtl w:val="0"/>
              </w:rPr>
              <w:t xml:space="preserve">5</w:t>
            </w:r>
            <w:r w:rsidR="00000000" w:rsidRPr="00000000" w:rsidDel="00000000">
              <w:rPr>
                <w:rtl w:val="0"/>
              </w:rPr>
              <w:t xml:space="preserve"> daļā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autoru darbu un izpildījumu veidus un nosacīto izdevumu piemērošanas apmēru atkarībā no autora darba vai izpildījuma veida;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informāciju, kādu darba devējs iesniedz Valsts ieņēmumu dienestam par akciju pirkuma tiesību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punktā ietverto Noteikumu 1.20. apakšpunktu, ņemot vērā to, ka likuma "Par iedzīvotāju ienākuma nodokli" 11.</w:t>
            </w:r>
            <w:r w:rsidR="00000000" w:rsidRPr="00000000" w:rsidDel="00000000">
              <w:rPr>
                <w:vertAlign w:val="superscript"/>
                <w:rtl w:val="0"/>
              </w:rPr>
              <w:t xml:space="preserve">11</w:t>
            </w:r>
            <w:r w:rsidR="00000000" w:rsidRPr="00000000" w:rsidDel="00000000">
              <w:rPr>
                <w:rtl w:val="0"/>
              </w:rPr>
              <w:t xml:space="preserve"> panta ceturtā daļa paredz, ka Valsts ieņēmumu dienestam tiek iesniegta ne tikai informācija par akciju pirkuma tiesību plānu. Aicinām paredzēt, ka, piemēram, Noteikumi nosaka informāciju, kādu darba devējs iesniedz Valsts ieņēmumu dienestam par likuma "Par iedzīvotāju ienākuma nodokli" 11.</w:t>
            </w:r>
            <w:r w:rsidR="00000000" w:rsidRPr="00000000" w:rsidDel="00000000">
              <w:rPr>
                <w:vertAlign w:val="superscript"/>
                <w:rtl w:val="0"/>
              </w:rPr>
              <w:t xml:space="preserve">11</w:t>
            </w:r>
            <w:r w:rsidR="00000000" w:rsidRPr="00000000" w:rsidDel="00000000">
              <w:rPr>
                <w:rtl w:val="0"/>
              </w:rPr>
              <w:t xml:space="preserve"> panta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informāciju, kādu darba devējs iesniedz Valsts ieņēmumu dienestam par likuma 11.</w:t>
            </w:r>
            <w:r w:rsidR="00000000" w:rsidRPr="00000000" w:rsidDel="00000000">
              <w:rPr>
                <w:vertAlign w:val="superscript"/>
                <w:rtl w:val="0"/>
              </w:rPr>
              <w:t xml:space="preserve">11 </w:t>
            </w:r>
            <w:r w:rsidR="00000000" w:rsidRPr="00000000" w:rsidDel="00000000">
              <w:rPr>
                <w:rtl w:val="0"/>
              </w:rPr>
              <w:t xml:space="preserve">panta ceturtajā daļā noteikto  saistībā ar akciju pirkuma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r w:rsidR="00000000" w:rsidRPr="00000000" w:rsidDel="00000000">
              <w:rPr>
                <w:vertAlign w:val="superscript"/>
                <w:rtl w:val="0"/>
              </w:rPr>
              <w:t xml:space="preserve">9</w:t>
            </w:r>
            <w:r w:rsidR="00000000" w:rsidRPr="00000000" w:rsidDel="00000000">
              <w:rPr>
                <w:rtl w:val="0"/>
              </w:rPr>
              <w:t xml:space="preserve"> Piemērojot likuma 11.</w:t>
            </w:r>
            <w:r w:rsidR="00000000" w:rsidRPr="00000000" w:rsidDel="00000000">
              <w:rPr>
                <w:vertAlign w:val="superscript"/>
                <w:rtl w:val="0"/>
              </w:rPr>
              <w:t xml:space="preserve">13</w:t>
            </w:r>
            <w:r w:rsidR="00000000" w:rsidRPr="00000000" w:rsidDel="00000000">
              <w:rPr>
                <w:rtl w:val="0"/>
              </w:rPr>
              <w:t xml:space="preserve"> panta trīspadsmito, piecpadsmito un sešpadsmito daļu ieguldījumu konta īpašnieks vai ieguldījumu pakalpojumu sniedzējs, ja ieguldījumu pakalpojumu sniedzējs atbildīgs par informācijas iesniegšanu, līdz taksācijas gada 31. decembrim iesniedz šādu informāciju par veikto ieguldījumu konta atvēršanu (ieguldījumu konta statusa piešķiršanu kontam) taksācijas gada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 punktā ietverto Noteikumu 89.</w:t>
            </w:r>
            <w:r w:rsidR="00000000" w:rsidRPr="00000000" w:rsidDel="00000000">
              <w:rPr>
                <w:vertAlign w:val="superscript"/>
                <w:rtl w:val="0"/>
              </w:rPr>
              <w:t xml:space="preserve">9</w:t>
            </w:r>
            <w:r w:rsidR="00000000" w:rsidRPr="00000000" w:rsidDel="00000000">
              <w:rPr>
                <w:rtl w:val="0"/>
              </w:rPr>
              <w:t xml:space="preserve"> punktu, projekta 9. punktā ietverto Noteikumu 89.</w:t>
            </w:r>
            <w:r w:rsidR="00000000" w:rsidRPr="00000000" w:rsidDel="00000000">
              <w:rPr>
                <w:vertAlign w:val="superscript"/>
                <w:rtl w:val="0"/>
              </w:rPr>
              <w:t xml:space="preserve">10</w:t>
            </w:r>
            <w:r w:rsidR="00000000" w:rsidRPr="00000000" w:rsidDel="00000000">
              <w:rPr>
                <w:rtl w:val="0"/>
              </w:rPr>
              <w:t xml:space="preserve"> punktu un projekta 10. punktā ietverto Noteikumu 147. punktu, ņemot vērā to, ka likuma "Par iedzīvotāju ienākuma nodokli" 11.</w:t>
            </w:r>
            <w:r w:rsidR="00000000" w:rsidRPr="00000000" w:rsidDel="00000000">
              <w:rPr>
                <w:vertAlign w:val="superscript"/>
                <w:rtl w:val="0"/>
              </w:rPr>
              <w:t xml:space="preserve">13</w:t>
            </w:r>
            <w:r w:rsidR="00000000" w:rsidRPr="00000000" w:rsidDel="00000000">
              <w:rPr>
                <w:rtl w:val="0"/>
              </w:rPr>
              <w:t xml:space="preserve"> panta 15. daļa ir pilnvarojusi Ministru kabinetu noteikt kārtību, kādā Latvijā reģistrēts ieguldījumu pakalpojumu sniedzējs vai ārvalstīs reģistrēta ieguldījumu pakalpojumu sniedzēja filiāle Latvijā, pie kura nodokļu maksātājs ir atvēris ieguldījumu kontu un kurš nav Kontu reģistra likuma subjekts, ne vēlāk kā līdz taksācijas gada beigām sniedz informāciju par atvērto ieguldījumu kontu Valsts ieņēmumu dienestam. Proti, Ministru kabinets nav pilnvarots noteikt šādu kārtību attiecībā uz nodokļu maksātāju, kurš atvēris ieguldījumu kontu pie ieguldījumu pakalpojumu sniedzēja, kurš nav Latvijā reģistrēts ieguldījumu pakalpojumu sniedzējs vai ārvalstīs reģistrēta ieguldījumu pakalpojumu sniedzēja filiāle Latvijā. Vienlaikus vēršam uzmanību uz to, ka likuma "Par iedzīvotāju ienākuma nodokli" 11.</w:t>
            </w:r>
            <w:r w:rsidR="00000000" w:rsidRPr="00000000" w:rsidDel="00000000">
              <w:rPr>
                <w:vertAlign w:val="superscript"/>
                <w:rtl w:val="0"/>
              </w:rPr>
              <w:t xml:space="preserve">13</w:t>
            </w:r>
            <w:r w:rsidR="00000000" w:rsidRPr="00000000" w:rsidDel="00000000">
              <w:rPr>
                <w:rtl w:val="0"/>
              </w:rPr>
              <w:t xml:space="preserve"> panta 16. daļā ir noteikts, kādu informāciju sniedz nodokļu maksātājs, proti, ieguldījumu konta īpašnieks, ja tam ir pienākums informāciju par ieguldījumu kontu sniegt pašam.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r w:rsidR="00000000" w:rsidRPr="00000000" w:rsidDel="00000000">
              <w:rPr>
                <w:vertAlign w:val="superscript"/>
                <w:rtl w:val="0"/>
              </w:rPr>
              <w:t xml:space="preserve">9</w:t>
            </w:r>
            <w:r w:rsidR="00000000" w:rsidRPr="00000000" w:rsidDel="00000000">
              <w:rPr>
                <w:rtl w:val="0"/>
              </w:rPr>
              <w:t xml:space="preserve"> Piemērojot likuma 11.</w:t>
            </w:r>
            <w:r w:rsidR="00000000" w:rsidRPr="00000000" w:rsidDel="00000000">
              <w:rPr>
                <w:vertAlign w:val="superscript"/>
                <w:rtl w:val="0"/>
              </w:rPr>
              <w:t xml:space="preserve">13</w:t>
            </w:r>
            <w:r w:rsidR="00000000" w:rsidRPr="00000000" w:rsidDel="00000000">
              <w:rPr>
                <w:rtl w:val="0"/>
              </w:rPr>
              <w:t xml:space="preserve"> panta piecpadsmito daļu ieguldījumu pakalpojumu sniedzējs līdz taksācijas gada 31. decembrim iesniedz šādu informāciju par veikto ieguldījumu konta atvēršanu (ieguldījumu konta statusa piešķiršanu kontam) taksācijas gada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147. 89.</w:t>
            </w:r>
            <w:r w:rsidR="00000000" w:rsidRPr="00000000" w:rsidDel="00000000">
              <w:rPr>
                <w:vertAlign w:val="superscript"/>
                <w:rtl w:val="0"/>
              </w:rPr>
              <w:t xml:space="preserve">9</w:t>
            </w:r>
            <w:r w:rsidR="00000000" w:rsidRPr="00000000" w:rsidDel="00000000">
              <w:rPr>
                <w:rtl w:val="0"/>
              </w:rPr>
              <w:t xml:space="preserve"> un 89.</w:t>
            </w:r>
            <w:r w:rsidR="00000000" w:rsidRPr="00000000" w:rsidDel="00000000">
              <w:rPr>
                <w:vertAlign w:val="superscript"/>
                <w:rtl w:val="0"/>
              </w:rPr>
              <w:t xml:space="preserve">10</w:t>
            </w:r>
            <w:r w:rsidR="00000000" w:rsidRPr="00000000" w:rsidDel="00000000">
              <w:rPr>
                <w:rtl w:val="0"/>
              </w:rPr>
              <w:t xml:space="preserve">punktā norādīto informāciju, kas attiecas uz 2022.gadu, atbildīgais par informācijas sniegšanu (ieguldījumu pakalpojumu sniedzējs vai ieguldījumu konta īpašnieks) var iesniegt Valsts ieņēmumu dienestam divu mēnešu laikā pēc 89.</w:t>
            </w:r>
            <w:r w:rsidR="00000000" w:rsidRPr="00000000" w:rsidDel="00000000">
              <w:rPr>
                <w:vertAlign w:val="superscript"/>
                <w:rtl w:val="0"/>
              </w:rPr>
              <w:t xml:space="preserve">9</w:t>
            </w:r>
            <w:r w:rsidR="00000000" w:rsidRPr="00000000" w:rsidDel="00000000">
              <w:rPr>
                <w:rtl w:val="0"/>
              </w:rPr>
              <w:t xml:space="preserve"> un 89.</w:t>
            </w:r>
            <w:r w:rsidR="00000000" w:rsidRPr="00000000" w:rsidDel="00000000">
              <w:rPr>
                <w:vertAlign w:val="superscript"/>
                <w:rtl w:val="0"/>
              </w:rPr>
              <w:t xml:space="preserve">10</w:t>
            </w:r>
            <w:r w:rsidR="00000000" w:rsidRPr="00000000" w:rsidDel="00000000">
              <w:rPr>
                <w:rtl w:val="0"/>
              </w:rPr>
              <w:t xml:space="preserve">punkta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ietvertais Noteikumu 147. punkts paredz, ka informāciju par 2022. gadu atbildīgais par informācijas sniegšanu var iesniegt divu mēnešu laikā pēc attiecīgā regulējuma spēkā stāšanās. Vēršam uzmanību uz to, ka no tiesību normas formulējuma izriet, ka atbildīgajam informācijas sniedzējam nebūs pienākums iesniegt nepieciešamo informāciju, bet tā būs viņa izvēle, vai šādu informāciju par 2022. gadu sniegt. No projekta sākotnējās ietekmes novērtējuma ziņojumā (anotācijā) ietvertās informācijas izriet, ka projekta 10. punktā ietvertā regulējuma mērķis ir paredzēt atbildīgajam informācijas sniedzējam vēlāku informācijas sniegšanas termiņu, jo projekts paredz, ka attiecīgā informācija sniedzama līdz konkrētā taksācijas gada 31. decembrim, tādējādi informācija par 2022. gadu bija sniedzama līdz 2022. gada 31. decembrim. Vienlaikus secināms, ka atbildīgajam informācijas sniedzējam ir pienākums sniegt informāciju arī par 2022. gadu. Ievērojot minēto, projekta 10. punktā ietvertajā Noteikumu 147. punktā ir nepieciešams skaidri noteikt, ka informācija par 2022. gadu iesniedzama divu mēnešu laikā pēc projektā ietvertā regulējuma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147. 89.</w:t>
            </w:r>
            <w:r w:rsidR="00000000" w:rsidRPr="00000000" w:rsidDel="00000000">
              <w:rPr>
                <w:vertAlign w:val="superscript"/>
                <w:rtl w:val="0"/>
              </w:rPr>
              <w:t xml:space="preserve">9</w:t>
            </w:r>
            <w:r w:rsidR="00000000" w:rsidRPr="00000000" w:rsidDel="00000000">
              <w:rPr>
                <w:rtl w:val="0"/>
              </w:rPr>
              <w:t xml:space="preserve"> un 89.</w:t>
            </w:r>
            <w:r w:rsidR="00000000" w:rsidRPr="00000000" w:rsidDel="00000000">
              <w:rPr>
                <w:vertAlign w:val="superscript"/>
                <w:rtl w:val="0"/>
              </w:rPr>
              <w:t xml:space="preserve">10</w:t>
            </w:r>
            <w:r w:rsidR="00000000" w:rsidRPr="00000000" w:rsidDel="00000000">
              <w:rPr>
                <w:rtl w:val="0"/>
              </w:rPr>
              <w:t xml:space="preserve">punktā norādīto informāciju, kas attiecas uz 2022.gadu, atbildīgais par informācijas sniegšanu (ieguldījumu pakalpojumu sniedzējs) iesniedz Valsts ieņēmumu dienestam  līdz 2023.gada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atsevišķu šajā likumā lietoto terminu skaidrojumu un šo terminu piemērošanu nodokļa aprēķināšanas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 punktā ietverto Noteikumu 1.1. apakšpunktu, ņemot vērā to, ka nav saprotams, kas ir tajā minētais "šis likums". Vienlaikus aicinām izvērtēt nepieciešamību pieteikt saīsinājumu vārdu savienojumam "likums "Par iedzīvotāju ienākuma nodokli"" un to lietot arī turpmākajos projekta 2. punktā ietvertajos Noteikumu 1. punkta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atsevišķu likumā “Par iedzīvotāju ienākuma nodokli” (turpmāk – likums) lietoto terminu skaidrojumu un šo terminu piemērošanu iedzīvotāju ienākuma nodokļa (turpmāk - nodoklis) aprēķināšanas vajadzībām;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22-TA-3481</w:t>
    </w:r>
    <w:r>
      <w:br/>
    </w:r>
    <w:r w:rsidR="00000000" w:rsidRPr="00000000" w:rsidDel="00000000">
      <w:rPr>
        <w:rtl w:val="0"/>
      </w:rPr>
      <w:t xml:space="preserve">15.11.2023. 16.45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22-TA-3481</w:t>
    </w:r>
    <w:r>
      <w:br/>
    </w:r>
    <w:r w:rsidR="00000000" w:rsidRPr="00000000" w:rsidDel="00000000">
      <w:rPr>
        <w:rtl w:val="0"/>
      </w:rPr>
      <w:t xml:space="preserve">15.11.2023. 16.45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Izziņa_22-TA-3481.docx</dc:title>
</cp:coreProperties>
</file>

<file path=docProps/custom.xml><?xml version="1.0" encoding="utf-8"?>
<Properties xmlns="http://schemas.openxmlformats.org/officeDocument/2006/custom-properties" xmlns:vt="http://schemas.openxmlformats.org/officeDocument/2006/docPropsVTypes"/>
</file>