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23-TA-3299: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Garantijas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ietvaros ir noteikts, ka atbalstu nepiešķir nozarēm un darbībām, kas minētas kā aizliegtās šo noteikumu 13.4.-13.6. apakšpunktu, 13.</w:t>
            </w:r>
            <w:r w:rsidR="00000000" w:rsidRPr="00000000" w:rsidDel="00000000">
              <w:rPr>
                <w:vertAlign w:val="superscript"/>
                <w:rtl w:val="0"/>
              </w:rPr>
              <w:t xml:space="preserve">1</w:t>
            </w:r>
            <w:r w:rsidR="00000000" w:rsidRPr="00000000" w:rsidDel="00000000">
              <w:rPr>
                <w:rtl w:val="0"/>
              </w:rPr>
              <w:t xml:space="preserve">1.punktos ietvaros. Lūdzam normatīvā akta skaidrības nolūkos papildināt noteikumu projektu ar nosacījumu attiecībā uz projekta iesniedzējiem, kas vienlaicīgi darbojas nozarē vai veic darbības, kas minētas kā aizliegtās šo noteikumu 13.4.-13.6. apakšpunktos, 13.</w:t>
            </w:r>
            <w:r w:rsidR="00000000" w:rsidRPr="00000000" w:rsidDel="00000000">
              <w:rPr>
                <w:vertAlign w:val="superscript"/>
                <w:rtl w:val="0"/>
              </w:rPr>
              <w:t xml:space="preserve">1</w:t>
            </w:r>
            <w:r w:rsidR="00000000" w:rsidRPr="00000000" w:rsidDel="00000000">
              <w:rPr>
                <w:rtl w:val="0"/>
              </w:rPr>
              <w:t xml:space="preserve">1.punktos nosakot, vai atbalsts tādiem projekta iesniedzējiem atbalsta programmas ietvaros var (ar izmaksu nodalīšanu) / nevar tikt sniegts, vienlaikus sniedzot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ir precizējusi MK noteikumu 14. punktu skaidri definējot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Garantijas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ja saimnieciskās darbības veicējiem, kuri darbojas Komisijas regulas Nr. 2023/2831 1. panta 1. punkta "a", un "c" apakšpunktā minētajās nozarēs, “b” un “d” apakšpunktā minētajās nozaru darbībās vai “e” un “f” apakšpunktā minētajās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2023/2831 neatbalstāmās nozares ir minētas tās 1.panta 1.punkta "a", "b", "c" un "d" apakšpunktos, savukārt neatbalstāmās darbības ir noteiktas 1.panta 1.punkta "e" un "f" apakšpunktos, lūdzam atbilstoši precizēt MK noteikumu 13.3.apakšpunktu, vai iekļaut tajā atsauci uz visu Komisijas regulas Nr. 2023/2831 1.panta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punktu izsakot to korekti atbilstoši Komisijas regulas 2023/2831 1.panta 1.punktam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ja saimnieciskās darbības veicējiem, kuri darbojas Komisijas regulas Nr. 2023/2831 1. panta 1. punkta "a","b", "c" un "d" apakšpunktā noteiktajās nozarēs, “e” un “f” apakšpunktā noteiktajās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saimnieciskās darbības veicējiem, kuri darbojas Komisijas regulas Nr. 2023/2831 1. panta 1. punkta "a", "c" un "d" apakšpunktā minētajās nozarēs vai veic darbības, kas noteiktas Komisijas regulas Nr. 2023/2831 1. panta 1. punkta "e" un "f"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Komisijas regulas Nr. 2023/2831 neatbalstāma ir arī nozare, kas minēta Komisijas regulas Nr. 2023/2831 1.panta 1.punkta b) apakšpunktā, lūdzam attiecīgi papildināt MKN 537 13.3.apakšpunktu, piem., iekļaujot tajā atsauci uz visu Komisijas regulas Nr. 2023/2831 1.panta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ir precizējusi MKN 13.3. punktu atbilstoši izteiktam iebildumam norādot korekti nozares un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ja saimnieciskās darbības veicējiem, kuri darbojas Komisijas regulas Nr. 2023/2831 1. panta 1. punkta "a","b", "c" un "d" apakšpunktā noteiktajās nozarēs, “e” un “f” apakšpunktā noteiktajās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vienlaikus darbojas vienā vai vairākās nozarēs vai veic citas darbības, kas neietilpst Komisijas regulas Nr. 2023/2831 darbības jomā, tas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uzturam izziņas 3.punktā ietverto Finanšu ministrijas izteikto iebildumu un lai no noteikumiem viennozīmīgi būtu skaidri Komisijas regulas Nr. 2023/2831 1. panta 2. punkta nosacījumi, lūdzam noteikumu 14.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saimnieciskās darbības veicējs darbojas kādā no Komisijas regulas Nr. 2023/2831 1. panta 1. punkta a), b), c) vai d) apakšpunktā minētajām neatbalstāmajām nozarēm, atbalstu drīkst piešķirt tikai tad, ja tiek skaidri nodalītas darbības un finanšu plūsmas atbalstāmās nozarēs, nodrošinot, ka darbības izslēgtajās nozarēs negūst labumu no pasākuma ietvaros piešķirtā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darbojas 13.3.apakšpunktā minētajās neatbalstāmajās nozarēs, </w:t>
            </w:r>
            <w:r w:rsidR="00000000" w:rsidRPr="00000000" w:rsidDel="00000000">
              <w:rPr>
                <w:i w:val="1"/>
                <w:rtl w:val="0"/>
              </w:rPr>
              <w:t xml:space="preserve">de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saimnieciskās darbības veicējs vienlaikus darbojas vienā vai vairākās nozarēs, kas minētas šo noteikumu 13.4.-13.10. un 13.</w:t>
            </w:r>
            <w:r w:rsidR="00000000" w:rsidRPr="00000000" w:rsidDel="00000000">
              <w:rPr>
                <w:vertAlign w:val="superscript"/>
                <w:rtl w:val="0"/>
              </w:rPr>
              <w:t xml:space="preserve">1</w:t>
            </w:r>
            <w:r w:rsidR="00000000" w:rsidRPr="00000000" w:rsidDel="00000000">
              <w:rPr>
                <w:rtl w:val="0"/>
              </w:rPr>
              <w:t xml:space="preserve"> 1. 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vienlaikus darbojas vienā vai vairākās nozarēs vai veic citas darbības, kas neietilpst Komisijas regulas Nr. 2023/2831 darbības jomā, tas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2023/2831 1. panta 2.punkts paredz pienākumu veikt nodalīšanu, nodrošinot, ka darbības nozarēs, kuras ir izslēgtas no šīs regulas darbības jomas, negūst labumu no de minimis atbalsta, ko piešķir saskaņā ar šo regulu (t.i., nodalīšanas pienākums ir attiecināms uz darbībām neatbalstāmajās nozarēs, nevis uz neatbalstāmajām darbībām, kas ir ietvertas Komisijas regulu Nr. 2023/2831 1. panta 1.punkta e) un f) apakšpunktā), lūdzam pārskatīt un atbilstoši precizēt noteikumu 14.punkta redakciju, vienlaikus dzēšot tajā vārdus "vai veic citas darbības". Ja uzņēmums veic darbības, kas ir noteiktas Komisijas regulu Nr. 2023/2831 1. panta 1.punkta e) un f) apakšpunktā, atbalstu nevar piešķirt.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ir precizējusi MKN 14. punktu atbilstoši izteiktam iebildumam norādot korekti nozares un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vienā vai vairākās nozarēs vai veic citas darbības sfērās, kas neietilpst Komisijas regulas Nr. 2023/2831 darbības jomā, tas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Komisijas regulas Nr. 2023/2831 1. panta 1. punktā minētās nozares arī neietilps Komisijas regulas Nr.2023/2831 darbības jomā, tādējādi šis punkts pārklājas ar noteikumu 14.punktā noteikto. Ja ar šo normu paredzēts nodrošināt, ka atbalsts tiek piešķirts arī tādiem saimnieciskās darbības veicējiem, kuri vienlaikus darbojās, piem., arī šo noteikumu 13.4.-13.6. un 13.</w:t>
            </w:r>
            <w:r w:rsidR="00000000" w:rsidRPr="00000000" w:rsidDel="00000000">
              <w:rPr>
                <w:vertAlign w:val="superscript"/>
                <w:rtl w:val="0"/>
              </w:rPr>
              <w:t xml:space="preserve">1</w:t>
            </w:r>
            <w:r w:rsidR="00000000" w:rsidRPr="00000000" w:rsidDel="00000000">
              <w:rPr>
                <w:rtl w:val="0"/>
              </w:rPr>
              <w:t xml:space="preserve">1.apakšpunktos minētajās izslēgtajās nozarēs, taču ar šo nozaru darbību vai izmaksu nodalīšanu tiktu nodrošināts, ka atbalsts šīm minētajām nozarēm netiks piešķirts, lūdzam veikt attiecīgus precizējumus šajā noteikumu punktā, iekļaujot atsauces uz noteikumu punktiem, kuras ir noteiktas kā papildus izslēgtās nozares šīs atbalsta programmas ietvaros. Kā arī lūdzam atbilstoši papildināt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w:t>
            </w:r>
            <w:r w:rsidR="00000000" w:rsidRPr="00000000" w:rsidDel="00000000">
              <w:rPr>
                <w:vertAlign w:val="superscript"/>
                <w:rtl w:val="0"/>
              </w:rPr>
              <w:t xml:space="preserve">1</w:t>
            </w:r>
            <w:r w:rsidR="00000000" w:rsidRPr="00000000" w:rsidDel="00000000">
              <w:rPr>
                <w:rtl w:val="0"/>
              </w:rPr>
              <w:t xml:space="preserve">.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kredītiestāde iekļauj finanšu pakalpojumus portfelī trīs gadus no līguma noslēgšanas ar sabiedrību "Altum". Sabiedrība "Altum" un kredītiestāde var vienoties par šā termiņa pagarināšanu, bet ne ilgāk kā par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jau sākotnēji nodrošinātu, ka kredītiestāžu līmenī netiktu piešķirtas ekonomiskas priekšrocības un tādējādi attiecībā uz tām nebūtu konstatējams komercdarbības atbalsts, Ministru kabineta 2017.gada 5.septembra noteikumos Nr.537 "Noteikumi par portfeļgarantijām sīko (mikro), mazo un vidējo saimnieciskās darbības veicēju - juridisko personu - kreditēšanas veicināšanai" (turpmāk – MKN 537) tika iestrādāts 17.punkts, kas paredz, ka sabiedrība "Altum" atlasa kredītiestādes atklātā, pārredzamā, nediskriminējošā un objektīvā atlases procedūrā atbilstoši šo noteikumu V nodaļai, ar papildus prasībām, kas noteiktas MKN 537 19.punktā. Šobrīd anotācijā par virzītajiem par grozījumiem 19.3.apakšpunktā tiek sniegts skaidrojums, ka: </w:t>
            </w:r>
            <w:r w:rsidR="00000000" w:rsidRPr="00000000" w:rsidDel="00000000">
              <w:rPr>
                <w:i w:val="1"/>
                <w:rtl w:val="0"/>
              </w:rPr>
              <w:t xml:space="preserve">“Vienlaikus Ekonomikas ministrija piedāvā priekšlikumu grozīt MK noteikumi Nr.537 19.3. apakšpunktu, lai mazinātu administratīvo slogu portfeļgarantiju programmas ieviešanas procesā. Priekšlikums  paredz palielināt termiņu, kurā atlasītā kredītiestāde iekļauj finanšu pakalpojumus portfelī būtu no diviem līdz trīs gadiem no līguma noslēgšanas ar sabiedrību "Altum."</w:t>
            </w:r>
            <w:r w:rsidR="00000000" w:rsidRPr="00000000" w:rsidDel="00000000">
              <w:rPr>
                <w:rtl w:val="0"/>
              </w:rPr>
              <w:t xml:space="preserve"> Lai nodrošinātu, ka ir ievēroti kredītiestāžu konkursa atlases nosacījumi, kā arī MKN 537 noteiktās prasības, un attiecīgi netiktu radītas ekonomiskas priekšrocības kādai no šobrīd izvēlētajām kredītiestādēm, veicot termiņa palielinājumu, kurā atlasītā kredītiestāde iekļauj finanšu pakalpojumus portfelī būtu no diviem līdz trīs gadiem no līguma noslēgšanas ar sabiedrību "Altum, lūdzam nodrošināt jau sākotnēji paredzētā principa “divi + divi gadi” ievērošanu,  attiecībā uz visām izvēlētajām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atgriezusi Noteikuma 19.3.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Komisijas regulas Nr. 2023/2831  2. panta 2. punktā noteiktajam vienam vienotam uzņēmumam izsniegtā </w:t>
            </w:r>
            <w:r w:rsidR="00000000" w:rsidRPr="00000000" w:rsidDel="00000000">
              <w:rPr>
                <w:i w:val="1"/>
                <w:rtl w:val="0"/>
              </w:rPr>
              <w:t xml:space="preserve">de minimis</w:t>
            </w:r>
            <w:r w:rsidR="00000000" w:rsidRPr="00000000" w:rsidDel="00000000">
              <w:rPr>
                <w:rtl w:val="0"/>
              </w:rPr>
              <w:t xml:space="preserve"> atbalsta kopējā summa nevienā trīs gadu periodā nepārsniedz Komisijas regulas Nr. 2023/2831  3. panta 2. punktā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27.punkta redakciju, ņemot vērā, ka šajā gadījumā ir jāpārbauda, vai plānotais de minimis atbalsts kopā ar iepriekšējos trīs gados, skaitot no atbalsta piešķiršanas dienas, saņemto de minimis atbalstu viena vienota uzņēmuma līmenī nepārsniedz Komisijas regulas Nr.2023/2831 3.panta 2.punktā noteikto maksimālo de minimis atbalsta apmēru, piem.,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pārbauda, vai plānotais de minimis atbalsts kopā ar iepriekšējos trīs gados, skaitot no atbalsta piešķiršanas dienas, saņemto de minimis atbalstu viena vienota uzņēmuma līmenī nepārsniedz Komisijas regulas Nr.2023/2831 3.panta 2.punktā noteikto maksimālo de minimis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Nr.2023/2831 2.panta 2.punktā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Komisijas regulas Nr. 2023/2831  2. panta 2. punktā noteiktajam vienam vienotam uzņēmumam izsniegtā </w:t>
            </w:r>
            <w:r w:rsidR="00000000" w:rsidRPr="00000000" w:rsidDel="00000000">
              <w:rPr>
                <w:i w:val="1"/>
                <w:rtl w:val="0"/>
              </w:rPr>
              <w:t xml:space="preserve">de minimis </w:t>
            </w:r>
            <w:r w:rsidR="00000000" w:rsidRPr="00000000" w:rsidDel="00000000">
              <w:rPr>
                <w:rtl w:val="0"/>
              </w:rPr>
              <w:t xml:space="preserve">atbalsta kopējā summa nedrīkst pārsniegt Komisijas regulas Nr. 2023/2831  3. panta 2. punktā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2023. gada 13. decembra Regulā (ES) 2023/2831 par Līguma par Eiropas Savienības darbību 107. un 108. panta piemērošanu de minimis atbalstam (turpmāk – regula 2023/2831) ir noteikts, ka "</w:t>
            </w:r>
            <w:r w:rsidR="00000000" w:rsidRPr="00000000" w:rsidDel="00000000">
              <w:rPr>
                <w:i w:val="1"/>
                <w:rtl w:val="0"/>
              </w:rPr>
              <w:t xml:space="preserve">trīs gadu laikposms šīs regulas vajadzībām būtu jāvērtē kā slīdošs periods. Attiecībā uz katru jaunu de minimis atbalsta piešķiršanu jāņem vērā de minimis atbalsta kopsumma, kas piešķirta iepriekšējos trīs gados</w:t>
            </w:r>
            <w:r w:rsidR="00000000" w:rsidRPr="00000000" w:rsidDel="00000000">
              <w:rPr>
                <w:rtl w:val="0"/>
              </w:rPr>
              <w:t xml:space="preserve">.", lūdzam papildināt noteikumu 27.punktu pret Komisijas regulas Nr. 2023/2831 3. panta 2. punktā lietoto formulējumu, ka de minimis kopsummu </w:t>
            </w:r>
            <w:r w:rsidR="00000000" w:rsidRPr="00000000" w:rsidDel="00000000">
              <w:rPr>
                <w:u w:val="single"/>
                <w:rtl w:val="0"/>
              </w:rPr>
              <w:t xml:space="preserve">ir jāpārbauda iepriekšējo trīs gadu periodā, skaitot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to, ka regulas 2023/2831 ietvaros trīs gadu laikposms ir jāvērtē kā slīdošs periods un attiecībā uz katru jaunu de minimis atbalsta piešķiršanu jāņem vērā de minimis atbalsta kopsumma, kas piešķirta iepriekšējos trīs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norādot, ka atbalsta kopējā summa nevienā trīs gadu periodā nepārsniedz Komisijas regulas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Nr.2023/2831 2.panta 2.punktā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Kredītiestāde, saimnieciskās darbības veicējs un sabiedrība "Altum" ievēro Komisijas regulas Nr. 2023/2831  6. panta 4.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nosacījumi par dokumentu glabāšanu izrietēja no Komisijas regulas Nr. 1407/2013  6. panta 4. punkta, šobrīd dokumentu glabāšanas nosacījumi izriet no Komisijas regulas Nr. 2023/2831 6.panta 3.punkta. Skaidrojam, ka Komisijas regulas Nr. 2023/2831 6. panta 3. punkts nosaka,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taču vienlaikus Komisijas regulas Nr. 2023/2831 6. panta 7. punkts nosaka, ka “</w:t>
            </w:r>
            <w:r w:rsidR="00000000" w:rsidRPr="00000000" w:rsidDel="00000000">
              <w:rPr>
                <w:i w:val="1"/>
                <w:rtl w:val="0"/>
              </w:rPr>
              <w:t xml:space="preserve">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w:t>
            </w:r>
            <w:r w:rsidR="00000000" w:rsidRPr="00000000" w:rsidDel="00000000">
              <w:rPr>
                <w:rtl w:val="0"/>
              </w:rPr>
              <w:t xml:space="preserve">”, tādējādi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 2023/2831 6. panta 1. punktā ietverto informācijas apjomu, attiecīgi lūdzam atbilstoši precizēt noteikumu 30.punkta redakciju, ietverot tajā atsauci uz Komisijas regulas Nr. 2023/2831 6. panta 3. punktu, kā arī ar atsauci uz Komisijas regulas Nr. 2023/2831 6. panta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izteiktam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 "Altum" nodrošina dokumentu glabāšanu 10 gadus no šo noteikumu ietvaros pēdējā atbalsta piešķiršanas dienas, savukārt , finansētājs, saimnieciskās darbības veicējs nodrošina dokumentu glabāšanu 10 gadus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pārkāptas Komisijas regulas Nr. 2023/2831 prasības, atbalsta saņēmējam ir pienākums atmaksāt sabiedrībai "Altum"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lūdzam  noteikumu 32.</w:t>
            </w:r>
            <w:r w:rsidR="00000000" w:rsidRPr="00000000" w:rsidDel="00000000">
              <w:rPr>
                <w:vertAlign w:val="superscript"/>
                <w:rtl w:val="0"/>
              </w:rPr>
              <w:t xml:space="preserve">1</w:t>
            </w:r>
            <w:r w:rsidR="00000000" w:rsidRPr="00000000" w:rsidDel="00000000">
              <w:rPr>
                <w:rtl w:val="0"/>
              </w:rPr>
              <w:t xml:space="preserve">punktu izteikt, piemēram, šādā redakcijā: “Ja tiek pārkāpti Komisijas regulas Nr. 2023/2831 nosacījumi, atbalsta saņēmējam ir pienākums atmaksāt sabiedrībai "Altum"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atbilstošie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pārkāptas Komisijas regulas Nr. 2023/2831 nosacījumi, atbalsta saņēmējam ir pienākums atmaksāt sabiedrībai "Altum"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4.10.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(FLA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Kolektīvās finansēšanas pakalpojumu sniedzēji nav Noziedzīgi iegūtu līdzekļu legalizācijas un terorisma un proliferācijas finansēšanas novēršanas likuma subjekti, jo tas neizriet no Eiropas Parlamenta un Padomes 2020. gada 7. oktobra regulas Nr. 2020/1503 par Eiropas kolektīvās finansēšanas pakalpojumu sniedzējiem uzņēmējdarbībai un ar ko groza regulu (ES) 2017/1129 un direktīvu (ES) 2019/1937. Kolektīvās finansēšanas pakalpojumu sniedzēju noziedzīgi iegūtu līdzekļu legalizācijas un terorisma un proliferācijas finansēšanas riski tiek pārvaldīti ar to maksājumu pakalpojumu sniedzēju starpniecību.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redakciju, lai Noziedzīgi iegūtu līdzekļu legalizācijas un terorisma un proliferācijas finansēšanas novēršanas likuma subjekta prasība nebūtu attiecināma uz kolektīvās finansēšanas pakalpojumu sniedzējiem.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veikusi precizējumus 4.10.1 izsakot punktu šādā redakcijā:  ir noziedzīgi iegūtu līdzekļu legalizācijas un terorisma un proliferācijas finansēšanas novēršanas likuma subjekts, izņemot licencētu kolektīvās finansēšanas pakalpojumu sniedzēju gadījumā, kad noziedzīgi iegūtu līdzekļu legalizācijas un terorisma un proliferācijas finansēšanas novēršanas jomas prasības tiek noteiktas civiltiesiskajos līgumos, kas noslēgti starp sabiedrību "Altum" un finansēju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anotāciju ar informāciju par to, ka Komisijas regulas Nr. 2023/2831 ietvaros trīs gadu laikposms ir jāvērtē kā slīdošs periods un attiecībā uz katru jaunu de minimis atbalsta piešķiršanu jāņem vērā de minimis atbalsta kopsumma, kas piešķirta iepriekšējos trīs gados. Kā arī ierosinām papildināt anotāciju ar praktisko piemēru kā nosakāms trīs gadu laika posms,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palielināta </w:t>
            </w:r>
            <w:r w:rsidR="00000000" w:rsidRPr="00000000" w:rsidDel="00000000">
              <w:rPr>
                <w:i w:val="1"/>
                <w:rtl w:val="0"/>
              </w:rPr>
              <w:t xml:space="preserve">de minimis</w:t>
            </w:r>
            <w:r w:rsidR="00000000" w:rsidRPr="00000000" w:rsidDel="00000000">
              <w:rPr>
                <w:rtl w:val="0"/>
              </w:rPr>
              <w:t xml:space="preserve"> atbalsta kopsumma, kas saskaņā ar Komisijas Regulas Nr. 2023/2831 3.panta otro daļu var sasniegt 300 000 </w:t>
            </w:r>
            <w:r w:rsidR="00000000" w:rsidRPr="00000000" w:rsidDel="00000000">
              <w:rPr>
                <w:i w:val="1"/>
                <w:rtl w:val="0"/>
              </w:rPr>
              <w:t xml:space="preserve">euro </w:t>
            </w:r>
            <w:r w:rsidR="00000000" w:rsidRPr="00000000" w:rsidDel="00000000">
              <w:rPr>
                <w:rtl w:val="0"/>
              </w:rPr>
              <w:t xml:space="preserve">apmēru, lūdzam sniegt skaidrojumu, vai šis palielinājums rada ietekmi uz iznākuma rādītāju "Ar finanšu instrumentiem atbalstītie uzņēmumi" (1.2.3.4.pasākuma ietvaros līdz 2029.gada beigām plānots atbalstīt 200 uzņēmumus). Attiecīgi lūdzam pārskatīt 1.2.3.SAM rādītāju pasē sniegto minētā rādītāja aprēķinu un nepieciešamības gadījumā iesniegt grozījumu priekšlikumus Eiropas Savienības kohēzijas politikas programmai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un izvērtējusi Finanšu ministrijas priekšlikumu un skaidro, ka de minimis palielinājums neradīs ietekmi uz rādītāju "Ar finanšu instrumentiem atbalstītie uzņēmumi" (1.2.2.2.pasākuma ietvaros līdz 2029.gada beigām plānots atbalstīt 60 uzņēmumus, bet 1.2.3.4.pasākumā - 200 uzņēmumus)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noteikumu projektā iekļauto grozījumu ietekmi uz atbalsta saņēmējiem, un vai un kādus līgumus būs nepieciešams grozīt, lai īstenotu šajā noteikumu projektā iekļautos grozījumus.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ka grozījumi neparedz izmaiņas atbalsta saņēmējiem, līdz ar to netiks veiktas izmaiņas atbalsta saņēmēja līgumos. Komisijas regulas Nr. 2023/2831  2. panta 2. punktā noteiktajam vienam vienotam uzņēmumam izsniegtā de minimis atbalsta kopējā summa nevienā trīs gadu periodā nepārsniedz Komisijas regulas Nr. 2023/2831  3. panta 2. punktā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"Komisijas 2013. gada 18. decembra Regula (ES) Nr. 1407/2013 par Līguma par Eiropas Savienības darbību 107. un 108. panta piemērošanu de minimis atbalstam (Eiropas Savienības Oficiālais Vēstnesis, 2013. gada 24. decembris, Nr. L 352/1) (turpmāk – Komisijas Regula Nr. 1407/2013) ar 2023.gada 31.decembri izbeidz savu darbību", lūdzam šo informāciju precizēt, ņemot vērā, ka Komisijas Regula Nr. 1407/2013 ar 2024.gada 1.janvāri zaudējusi spēku, bet ir piemērojama līdz 2024.gada 30.jūnijam atbilstoši tās 7.panta 4.punktā un 8.pantā noteiktajām. Tā kā ar MKN 537 grozījumiem ir paredzēts, ka no to spēkā stāšanās brīža de minimis atbalsts tiks piešķirts ar Komisijas 2023.gada 13.decembra regulu Nr. 2023/2831 par Līguma par Eiropas Savienības darbību 107. un 108. panta piemērošanu de minimis atbalstam, lūdzam to skaidri atspoguļot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(turpmāk - EM) MK noteikumu projekta izziņas 9.punktā sniegto EM skaidrojumu, ka noteikumu grozījumi neparedz izmaiņas programmas novērtējumā, ko EM iesniedza Finanšu ministrijai un MK apstiprināja 2023.gada 5.septembrī, un vienlaikus, lai </w:t>
            </w:r>
            <w:r w:rsidR="00000000" w:rsidRPr="00000000" w:rsidDel="00000000">
              <w:rPr>
                <w:b w:val="1"/>
                <w:rtl w:val="0"/>
              </w:rPr>
              <w:t xml:space="preserve">nodrošinātu atbilstību Attīstības finanšu institūcijas likuma 12.panta trešajā un ceturtajā daļā noteiktajam</w:t>
            </w:r>
            <w:r w:rsidR="00000000" w:rsidRPr="00000000" w:rsidDel="00000000">
              <w:rPr>
                <w:rtl w:val="0"/>
              </w:rPr>
              <w:t xml:space="preserve">, lūdzam EM arī MK noteikumu projekta </w:t>
            </w:r>
            <w:r w:rsidR="00000000" w:rsidRPr="00000000" w:rsidDel="00000000">
              <w:rPr>
                <w:b w:val="1"/>
                <w:rtl w:val="0"/>
              </w:rPr>
              <w:t xml:space="preserve">anotācijā apliecināt</w:t>
            </w:r>
            <w:r w:rsidR="00000000" w:rsidRPr="00000000" w:rsidDel="00000000">
              <w:rPr>
                <w:rtl w:val="0"/>
              </w:rPr>
              <w:t xml:space="preserve">, ka noteikumu projektā ietvertie grozījumi </w:t>
            </w:r>
            <w:r w:rsidR="00000000" w:rsidRPr="00000000" w:rsidDel="00000000">
              <w:rPr>
                <w:b w:val="1"/>
                <w:rtl w:val="0"/>
              </w:rPr>
              <w:t xml:space="preserve">neietekmē apstiprināto programmas rādītāju novērtējumu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anotāciju ar skaidrojumu, ka MK noteikumu grozījumi Ministru kabineta 2017. gada 5. septembra noteikumos Nr. 537 "Noteikumi par portfeļgarantijām sīko (mikro), mazo un vidējo saimnieciskās darbības veicēju – juridisko personu – kreditēšanas veicināšanai" neparedz izmaiņas programmas novērtējumā, ko Ekonomikas ministrija iesniedza Finanšu ministrijai un Ministru kabinets apstiprināja 2023.gada 5.septembrī.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grozījumi Ministru kabineta 2017. gada 5. septembra noteikumos Nr. 537 "Noteikumi par portfeļgarantijām sīko (mikro), mazo un vidējo saimnieciskās darbības veicēju – juridisko personu – kreditēšanas veicināšanai" neparedz izmaiņas programmas novērtējumā, ko Ekonomikas ministrija iesniedza Finanšu ministrijai un Ministru kabinets apstiprināja 2023.gada 5.septembrī.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V sadaļas 1.tabulu ar noteikumu projekta punktu izvērtējumu atbilstību Komisijas regulas Nr.2023/2831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Tieslietu ministrijas Eiropas Savienības tiesību ieviešanas rokasgrāmatā 2.6.1. apakšsadaļā noteikto saskaņā ar Līguma par Eiropas Savienības darbību (turpmāk – LESD) 288. pantu regulas ir vispārpiemērojamas. Saskaņā ar rokasgrāmatā minēto: “Regulu tiešās piemērojamības princips nozīmē to, ka regulas kļūst par ES dalībvalsts nacionālo tiesību kopuma daļu bez nacionālo tiesību starpniecības, t.i., atšķirībā, piemēram, no direktīvām regulas nav jāpārņem nacionālajos tiesību aktos, vēl jo vairāk, tas pat ir aizliegts.” Aizliegums regulu pārņemšanai ES dalībvalstu nacionālajos tiesību aktos tiek pamatots, galvenokārt, ar diviem argumentiem. Pirmkārt, regulu pārņemšana nacionālajos tiesību aktos var radīt risku novirzīties no regulu normās noteiktajām prasībām, tādējādi apdraudot ES tiesību vienotību visās ES dalībvalstīs. Otrkārt, regulu pārņemšanas rezultātā var rasties problēmas ar regulu normu spēkā stāšanās datumu, jo var nebūt skaidrs, vai regulu normas ir spēkā no to pieņemšanas brīža ES līmenī vai pārņemšanas brīža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nav norādījusi informāciju par konkrētu regulu vienību ieviešanu noteikumu projektā, jo normas ir tieši piemērojamas, nepiemērojot stingrākas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portfeļgarantijas uzlabojumiem – FNA ierosina uzlabot PG nosacījumus, lai veicinātu finansējuma pieejamību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maksimālo darījuma limitu – šobrīd limits ir 250 000 EUR, kas ir bieži nepietiekošs vidējo uzņēmumu finansēšanai. Tādējādi klienti jāvirza uz individuālo garantiju. Turklāt kredītiestādēm jau ir uzkrāta ievērojama pieredze PG izsniegšanā (izmantošanā), kas samazina darījuma neatbilstības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Paplašināt atbilstošo produktu klāstu ar bankas garantijām – uzņēmumi bankas garantijas uzskata par apgrozāmā kapitāla finansējumu, it īpaši gadījumos, kad ir nepieciešama bankas garantija uz īsāku termiņu. Turklāt dažreiz nodrošinājuma vietā jāpiedāvā naudas segumu, kas negatīvi ietekmē uzņēmuma naudas plūsmu. Šobrīd programmas ietvaros bankas var piešķirt tikai kredītlīniju un kredītu apgrozāmo līdzekļu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garantijas prēmijas likmi – ņemot vērā prēmiju samazinājumu individuālajām garantijām, lūdzam pārskatīt arī prēmijas likmi PG darījumiem ar termiņu līdz 2 gadiem. Šobrīd prēmijas likme ir 0,8%, bet pagarinot kredītlīniju katru gadu, klients maksā 0,8%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 pieteikties portfeļiem ar dažādiem CAP likmēm (rate) – ierosinām paredzēt iespēju vienā pieteikumā pieteikties uz portfeļiem ar dažādiem CAP rates. Piemēram – kredīti bez nodrošinājuma un kredīti ar nodrošinājumu, kur būtu iespēja diferencēt CAP attiecīgā portfeļa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FNA paustiem priekšlikumiem un skaidro, ka pašlaik ministru kabineta noteikumu 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apakšpunkts paredz atbalsta apmēra palielinājumu līdz 500 tūkst. EUR., vienlaikus pašlaik šī pieeja attiecas tikai uz ES fondu programmas sadaļu  un MVU. Vienlaikus Ekonomikas ministrija atbalsta pārējos priekšlikumus un ir veikusi precizējumus noteikumu projektā un skaidrojumu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ierosinātais priekšlikums, ka iespēju vienā pieteikumā pieteikties uz portfeļiem ar dažādiem CAP rates Altum plāno ieviest atlases nosacījumos, kam nav nepieciešams Ministru kabineta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2013.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8. punktā norādīts neprecīzs tiesību akta izdošanas datums. Ņemot vērā minēto, lūdzam atbilstoši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aizstājot 2013 ar 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2013.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 (ES) Nr. 2023/2831 par Līguma par Eiropas Savienības darbību 107. un 108. panta piemērošanu de minimis atbalstam ir datēta ar 2023. gada 13. decembri, lūdzam atbilstoši precizēt norādīto Komisijas Regulas (ES) Nr. 2023/2831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aizstājot 2013 ar 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saimnieciskās darbības veicējiem, kuri darbojas Komisijas 2014. gada 11. septembra Īstenošanas regulas (ES) Nr. 964/2014, kurā izklāstīti noteikumi par Eiropas Parlamenta un Padomes Regulas (ES) Nr. 1303/2013 piemērošanu attiecībā uz standarta noteikumiem un nosacījumiem par finanšu instrumentiem, III pielikumā noteiktajās ierobežotajās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svītrots 13.6.apakšpunkts, kas līdz šim aizliedza sniegt atbalstu tādām nozarēm kā 1) Tabaka un destilēti alkoholiskie dzērieni; 2) Ieroču un munīcijas ražošana un tirdzniecība; 3) Kazino; u.c., lūdzam sniegt skaidrojumu anotācijas 1.3.sadaļā, kāpēc minētie ierobežojumi tagad būtu atbalstāmi. Lūdzam izvērtēt iespēju papildināt noteikumu projektu ar minētajām neatbalstāmajām nozarēm.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Finanšu ministrijas izteikto priekšlikumu un skaidro, ka noteikumu projektu ir papildinājusi ar 13.7-13.10 apakšpunktiem, kuros ir minētas neatbalstāmās nozares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saimnieciskās darbības veicējiem, kuri darbojas Komisijas 2014. gada 11. septembra Īstenošanas regulas (ES) Nr. 964/2014, kurā izklāstīti noteikumi par Eiropas Parlamenta un Padomes Regulas (ES) Nr. 1303/2013 piemērošanu attiecībā uz standarta noteikumiem un nosacījumiem par finanšu instrumentiem, III pielikumā noteiktajās ierobežotajās nozarēs.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saimnieciskās darbības veicējs darbojas 13.3.apakšpunktā minētajās neatbalstāmajās nozarēs, </w:t>
            </w:r>
            <w:r w:rsidR="00000000" w:rsidRPr="00000000" w:rsidDel="00000000">
              <w:rPr>
                <w:i w:val="1"/>
                <w:rtl w:val="0"/>
              </w:rPr>
              <w:t xml:space="preserve">de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saimnieciskās darbības veicējs vienlaikus darbojas vienā vai vairākās nozarēs, kas minētas šo noteikumu 13.4.-13.5. un 13.</w:t>
            </w:r>
            <w:r w:rsidR="00000000" w:rsidRPr="00000000" w:rsidDel="00000000">
              <w:rPr>
                <w:vertAlign w:val="superscript"/>
                <w:rtl w:val="0"/>
              </w:rPr>
              <w:t xml:space="preserve">1</w:t>
            </w:r>
            <w:r w:rsidR="00000000" w:rsidRPr="00000000" w:rsidDel="00000000">
              <w:rPr>
                <w:rtl w:val="0"/>
              </w:rPr>
              <w:t xml:space="preserve"> 1. apakšpunktā, d</w:t>
            </w:r>
            <w:r w:rsidR="00000000" w:rsidRPr="00000000" w:rsidDel="00000000">
              <w:rPr>
                <w:i w:val="1"/>
                <w:rtl w:val="0"/>
              </w:rPr>
              <w:t xml:space="preserve">e</w:t>
            </w:r>
            <w:r w:rsidR="00000000" w:rsidRPr="00000000" w:rsidDel="00000000">
              <w:rPr>
                <w:i w:val="1"/>
                <w:rtl w:val="0"/>
              </w:rPr>
              <w:t xml:space="preserve"> minimis </w:t>
            </w:r>
            <w:r w:rsidR="00000000" w:rsidRPr="00000000" w:rsidDel="00000000">
              <w:rPr>
                <w:rtl w:val="0"/>
              </w:rPr>
              <w:t xml:space="preserve">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14.punkta redakcija dublē noteikumu projekta 14</w:t>
            </w:r>
            <w:r w:rsidR="00000000" w:rsidRPr="00000000" w:rsidDel="00000000">
              <w:rPr>
                <w:vertAlign w:val="superscript"/>
                <w:rtl w:val="0"/>
              </w:rPr>
              <w:t xml:space="preserve">1</w:t>
            </w:r>
            <w:r w:rsidR="00000000" w:rsidRPr="00000000" w:rsidDel="00000000">
              <w:rPr>
                <w:rtl w:val="0"/>
              </w:rPr>
              <w:t xml:space="preserve">punkta 1.teikuma redakciju. Lūdzam saglabāt tikai 14</w:t>
            </w:r>
            <w:r w:rsidR="00000000" w:rsidRPr="00000000" w:rsidDel="00000000">
              <w:rPr>
                <w:vertAlign w:val="superscript"/>
                <w:rtl w:val="0"/>
              </w:rPr>
              <w:t xml:space="preserve">1</w:t>
            </w:r>
            <w:r w:rsidR="00000000" w:rsidRPr="00000000" w:rsidDel="00000000">
              <w:rPr>
                <w:rtl w:val="0"/>
              </w:rPr>
              <w:t xml:space="preserve">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ņēmusi vērā izteikto priekšlikumu un apvienojusi 14.</w:t>
            </w:r>
            <w:r w:rsidR="00000000" w:rsidRPr="00000000" w:rsidDel="00000000">
              <w:rPr>
                <w:vertAlign w:val="superscript"/>
                <w:rtl w:val="0"/>
              </w:rPr>
              <w:t xml:space="preserve">1</w:t>
            </w:r>
            <w:r w:rsidR="00000000" w:rsidRPr="00000000" w:rsidDel="00000000">
              <w:rPr>
                <w:rtl w:val="0"/>
              </w:rPr>
              <w:t xml:space="preserve"> punktu ar 14.punktu.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 2023/2831 par Līguma par Eiropas Savienības darbību 107. un 108. panta piemērošanu de minimis atbalstam, 3.panta 2.punktā noteiktajam, atbalsta sniedzējam ir pienākums pārbaudīt piešķirtā, nevis faktiski saņemtā atbalsta apjomu. Lai nodrošinātu atbilstību Komisijas regulas Nr.2023/2831 3.panta 2.punktam, aicinām MK noteikumu 27.punktā aizstāt vārdu “saņemto” ar vārdu “piešķirto”.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 27.punktā aizstājot vārdu "saņemto" ar vārdu "piešķirto".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Nr.2023/2831 2.panta 2.punktā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Kredītiestāde, saimnieciskās darbības veicējs un sabiedrība "Altum" ievēro Komisijas regulas Nr. 2023/2831  6. panta 3. un 7. punktos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punktu, nodrošinot, ka atbalsta sniedzējs nodrošina dokumentu glabāšanu 10 gadus no šo noteikumu ietvaros pēdējā atbalsta piešķiršanas dienas, savukārt atbalsta saņēmējs 10 gadus no atbalsta piešķiršanas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30.punktu atbilstoši izteiktam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 "Altum" nodrošina dokumentu glabāšanu 10 gadus no šo noteikumu ietvaros pēdējā atbalsta piešķiršanas dienas, savukārt , finansētājs, saimnieciskās darbības veicējs nodrošina dokumentu glabāšanu 10 gadus no atbalsta piešķiršanas dienas.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23-TA-3299</w:t>
    </w:r>
    <w:r>
      <w:br/>
    </w:r>
    <w:r w:rsidR="00000000" w:rsidRPr="00000000" w:rsidDel="00000000">
      <w:rPr>
        <w:rtl w:val="0"/>
      </w:rPr>
      <w:t xml:space="preserve">21.05.2024. 08.22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23-TA-3299</w:t>
    </w:r>
    <w:r>
      <w:br/>
    </w:r>
    <w:r w:rsidR="00000000" w:rsidRPr="00000000" w:rsidDel="00000000">
      <w:rPr>
        <w:rtl w:val="0"/>
      </w:rPr>
      <w:t xml:space="preserve">21.05.2024. 08.22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Izziņa_23-TA-3299.docx</dc:title>
</cp:coreProperties>
</file>

<file path=docProps/custom.xml><?xml version="1.0" encoding="utf-8"?>
<Properties xmlns="http://schemas.openxmlformats.org/officeDocument/2006/custom-properties" xmlns:vt="http://schemas.openxmlformats.org/officeDocument/2006/docPropsVTypes"/>
</file>