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23-TA-2729: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2019. gada 10. decembra noteikumos Nr. 641 "Zāļu valsts aģentūras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projekta "Grozījumi Ministru kabineta 2019.gada 10.decembra noteikumos Nr. 641 "Zāļu valsts aģentūras maksas pakalpojumu cenrādis"" 1.punktu noteikumu pielikums tiek izteikts jaunā redakcijā, papildinot noteikumu pielikuma 65.1.apakšpunktu ar atsauci uz A klases in vitro diagnostikas medicīnisko ierīču vigilances sistēmas darbības nodrošināšanu un 65.2.apakšpunktu - ar atsauci uz B klases, C klases un D klases (ietverot arī A klases) in vitro diagnostikas medicīnisko ierīču vigilances sistēmas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Pievienotās vērtības nodokļa likuma 5.panta pirmajai daļai pakalpojumu sniegšana par atlīdzību ir ar pievienotās vērtības nodokli (PVN) apliekams darījums. Pievienotās vērtības nodokļa likuma 3.panta pirmā daļa paredz, ka PVN maksātājs ir persona, kura patstāvīgi jebkurā vietā veic jebkuru saimniecisko darbību neatkarīgi no šīs darbības mērķa vai rezultāta. Savukārt saskaņā ar Pievienotās vērtības nodokļa likuma 3.panta astoto daļu publiskas personas, kuras saskaņā ar Valsts pārvaldes iekārtas likumu pilda tām deleģētus vai ar pilnvarojumu nodotus valsts pārvaldes uzdevumus, neuzskata par PVN maksātājiem attiecībā uz darbībām vai darījumiem, kuros tās iesaistās valsts pārvaldes funkciju vai uzdevumu pildīšanā. Tiesiskās noteiktības nodrošināšanai, lūdzam papildināt anotāciju ar skaidrojumu par PVN piemērošanu Zāļu valsts aģentūras sniedzamajiem maksas pakalpojumiem, ar kuriem tiek papildināts maksas pakalpojumu cenrādis.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2021. gada 7. septembra noteikumu Nr. 617 "Tiesību akta projekta sākotnējās ietekmes izvērtēšanas kārtība" 15. punktam tiesību akta projekta anotācijas sadaļu, kurā norādīta projekta izstrādes nepieciešamība, aizpilda visiem tiesību aktu projektiem.  Ievērojot minēto, lūdzam papildināt noteikumu projekta anotācijas 1.1. sadaļu ar noteikumu projekta izstrādes pamatojuma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5. aprīļa Regulas (ES) 2017/746, kas attiecas uz in vitro diagnostikas medicīniskām ierīcēm un ar ko atceļ Direktīvu 98/79/EK un Komisijas Lēmumu 2010/227/ES (turpmāk – regula), 104. panta 1. punkts noteic: šī regula neskar iespēju, ka dalībvalstis par tajā izklāstītajām darbībām iekasē maksu, ar noteikumu, ka maksas apmērs ir noteikts pārredzami un tā pamatā ir izmaksu atgūšanas princips. Tādējādi dalībvalstīm, cita starpā, ir rīcības brīvība noteikt maksu par medicīnisko ierīču vigilances sistēmas darbības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anotācijas 5.4. sadaļu, aizpildot tajā ietvertās 1. tabulas aili "Kā ir izmantota ES tiesību aktā paredzētā rīcības brīvība dalībvalstij pārņemt vai ieviest noteiktas ES tiesību akta normas? Kādēļ?".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10.oktobra noteikumi Nr. 582 "</w:t>
            </w:r>
            <w:r w:rsidR="00000000" w:rsidRPr="00000000" w:rsidDel="00000000">
              <w:rPr>
                <w:i w:val="1"/>
                <w:rtl w:val="0"/>
              </w:rPr>
              <w:t xml:space="preserve">In vitro</w:t>
            </w:r>
            <w:r w:rsidR="00000000" w:rsidRPr="00000000" w:rsidDel="00000000">
              <w:rPr>
                <w:rtl w:val="0"/>
              </w:rPr>
              <w:t xml:space="preserve"> diagnostikas medicīnisko ierīču noteikumi" paredz, ka par noteiktām Zāļu valsts aģentūras darbībām tiek iekasēta maksa. Līdz ar to Regulas 2017/746 104. panta 1. punkts tika ieviests ar minētajiem noteikumiem Nr.582, nevis ar šo projektu. Tādēļ šajā projektā nav pamata precizēt anotācijas 5.4. sadaļu un aizpildīt tajā ietvertās 1. tabulas aili "Kā ir izmantota ES tiesību aktā paredzētā rīcības brīvība dalībvalstij pārņemt vai ieviest noteiktas ES tiesību akta normas? Kādēļ?"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23-TA-2729</w:t>
    </w:r>
    <w:r>
      <w:br/>
    </w:r>
    <w:r w:rsidR="00000000" w:rsidRPr="00000000" w:rsidDel="00000000">
      <w:rPr>
        <w:rtl w:val="0"/>
      </w:rPr>
      <w:t xml:space="preserve">19.02.2024. 10.32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23-TA-2729</w:t>
    </w:r>
    <w:r>
      <w:br/>
    </w:r>
    <w:r w:rsidR="00000000" w:rsidRPr="00000000" w:rsidDel="00000000">
      <w:rPr>
        <w:rtl w:val="0"/>
      </w:rPr>
      <w:t xml:space="preserve">19.02.2024. 10.32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Izziņa_23-TA-2729.docx</dc:title>
</cp:coreProperties>
</file>

<file path=docProps/custom.xml><?xml version="1.0" encoding="utf-8"?>
<Properties xmlns="http://schemas.openxmlformats.org/officeDocument/2006/custom-properties" xmlns:vt="http://schemas.openxmlformats.org/officeDocument/2006/docPropsVTypes"/>
</file>