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6D87" w:rsidR="003142AE" w:rsidP="00FE495D" w:rsidRDefault="00551402" w14:paraId="0CDF2E78" w14:textId="77777777">
      <w:pPr>
        <w:widowControl/>
        <w:spacing w:after="0" w:line="360" w:lineRule="auto"/>
        <w:jc w:val="center"/>
        <w:rPr>
          <w:rFonts w:ascii="Times New Roman" w:hAnsi="Times New Roman" w:eastAsia="Times New Roman"/>
          <w:sz w:val="26"/>
          <w:szCs w:val="26"/>
          <w:lang w:val="lv-LV"/>
        </w:rPr>
      </w:pPr>
      <w:r w:rsidRPr="008C6D87">
        <w:rPr>
          <w:rFonts w:ascii="Times New Roman" w:hAnsi="Times New Roman" w:eastAsia="Times New Roman"/>
          <w:sz w:val="26"/>
          <w:szCs w:val="26"/>
          <w:lang w:val="lv-LV"/>
        </w:rPr>
        <w:t>Rīgā</w:t>
      </w:r>
    </w:p>
    <w:p w:rsidRPr="008C6D87" w:rsidR="00EB6B69" w:rsidP="00EB6B69" w:rsidRDefault="00551402" w14:paraId="0CDF2E79" w14:textId="77777777">
      <w:pPr>
        <w:widowControl/>
        <w:spacing w:after="0" w:line="360" w:lineRule="auto"/>
        <w:jc w:val="both"/>
        <w:rPr>
          <w:rFonts w:ascii="Times New Roman" w:hAnsi="Times New Roman" w:eastAsia="Times New Roman"/>
          <w:sz w:val="26"/>
          <w:szCs w:val="26"/>
          <w:lang w:val="lv-LV"/>
        </w:rPr>
      </w:pPr>
      <w:r w:rsidRPr="008C6D87">
        <w:rPr>
          <w:rFonts w:ascii="Times New Roman" w:hAnsi="Times New Roman" w:eastAsia="Times New Roman"/>
          <w:noProof/>
          <w:sz w:val="26"/>
          <w:szCs w:val="26"/>
          <w:lang w:val="lv-LV"/>
        </w:rPr>
        <w:t>Datums skatāms laika zīmogā</w:t>
      </w:r>
      <w:r w:rsidRPr="008C6D87" w:rsidR="00DA67CA">
        <w:rPr>
          <w:rFonts w:ascii="Times New Roman" w:hAnsi="Times New Roman" w:eastAsia="Times New Roman"/>
          <w:sz w:val="26"/>
          <w:szCs w:val="26"/>
          <w:lang w:val="lv-LV"/>
        </w:rPr>
        <w:t>.</w:t>
      </w:r>
      <w:r w:rsidRPr="008C6D87">
        <w:rPr>
          <w:rFonts w:ascii="Times New Roman" w:hAnsi="Times New Roman" w:eastAsia="Times New Roman"/>
          <w:sz w:val="26"/>
          <w:szCs w:val="26"/>
          <w:lang w:val="lv-LV"/>
        </w:rPr>
        <w:t xml:space="preserve"> Nr.</w:t>
      </w:r>
      <w:r w:rsidRPr="008C6D87" w:rsidR="00C6482D">
        <w:rPr>
          <w:rFonts w:ascii="Times New Roman" w:hAnsi="Times New Roman" w:eastAsia="Times New Roman"/>
          <w:sz w:val="26"/>
          <w:szCs w:val="26"/>
          <w:lang w:val="lv-LV"/>
        </w:rPr>
        <w:t xml:space="preserve"> </w:t>
      </w:r>
      <w:r w:rsidRPr="008C6D87">
        <w:rPr>
          <w:rFonts w:ascii="Times New Roman" w:hAnsi="Times New Roman" w:eastAsia="Times New Roman"/>
          <w:noProof/>
          <w:sz w:val="26"/>
          <w:szCs w:val="26"/>
          <w:lang w:val="lv-LV"/>
        </w:rPr>
        <w:t>2.-2/11350</w:t>
      </w:r>
      <w:r w:rsidRPr="008C6D87">
        <w:rPr>
          <w:rFonts w:ascii="Times New Roman" w:hAnsi="Times New Roman" w:eastAsia="Times New Roman"/>
          <w:sz w:val="26"/>
          <w:szCs w:val="26"/>
          <w:lang w:val="lv-LV"/>
        </w:rPr>
        <w:t xml:space="preserve"> </w:t>
      </w:r>
    </w:p>
    <w:p w:rsidRPr="008C6D87" w:rsidR="004B18E3" w:rsidP="004B18E3" w:rsidRDefault="004B18E3" w14:paraId="0CDF2E7A" w14:textId="77777777">
      <w:pPr>
        <w:widowControl/>
        <w:spacing w:after="0" w:line="240" w:lineRule="auto"/>
        <w:ind w:firstLine="4820"/>
        <w:rPr>
          <w:rFonts w:ascii="Times New Roman" w:hAnsi="Times New Roman" w:eastAsia="Times New Roman"/>
          <w:b/>
          <w:sz w:val="26"/>
          <w:szCs w:val="26"/>
          <w:lang w:val="lv-LV"/>
        </w:rPr>
      </w:pPr>
    </w:p>
    <w:p w:rsidRPr="008C6D87" w:rsidR="004B18E3" w:rsidP="004B18E3" w:rsidRDefault="00551402" w14:paraId="0CDF2E7B" w14:textId="77777777">
      <w:pPr>
        <w:widowControl/>
        <w:spacing w:after="0" w:line="240" w:lineRule="auto"/>
        <w:ind w:firstLine="4820"/>
        <w:rPr>
          <w:rFonts w:ascii="Times New Roman" w:hAnsi="Times New Roman" w:eastAsia="Times New Roman"/>
          <w:b/>
          <w:sz w:val="26"/>
          <w:szCs w:val="26"/>
          <w:lang w:val="lv-LV"/>
        </w:rPr>
      </w:pPr>
      <w:r w:rsidRPr="008C6D87">
        <w:rPr>
          <w:rFonts w:ascii="Times New Roman" w:hAnsi="Times New Roman" w:eastAsia="Times New Roman"/>
          <w:b/>
          <w:sz w:val="26"/>
          <w:szCs w:val="26"/>
          <w:lang w:val="lv-LV"/>
        </w:rPr>
        <w:t>Satiksmes ministrijai</w:t>
      </w:r>
    </w:p>
    <w:p w:rsidRPr="008C6D87" w:rsidR="004B18E3" w:rsidP="004B18E3" w:rsidRDefault="00551402" w14:paraId="0CDF2E7C" w14:textId="77777777">
      <w:pPr>
        <w:widowControl/>
        <w:spacing w:after="0" w:line="240" w:lineRule="auto"/>
        <w:ind w:firstLine="4820"/>
        <w:rPr>
          <w:rFonts w:ascii="Times New Roman" w:hAnsi="Times New Roman" w:eastAsia="Times New Roman"/>
          <w:b/>
          <w:sz w:val="26"/>
          <w:szCs w:val="26"/>
          <w:lang w:val="lv-LV"/>
        </w:rPr>
      </w:pPr>
      <w:r w:rsidRPr="008C6D87">
        <w:rPr>
          <w:rFonts w:ascii="Times New Roman" w:hAnsi="Times New Roman" w:eastAsia="Times New Roman"/>
          <w:b/>
          <w:sz w:val="26"/>
          <w:szCs w:val="26"/>
          <w:lang w:val="lv-LV"/>
        </w:rPr>
        <w:t>Paziņošanai e-Adresē</w:t>
      </w:r>
    </w:p>
    <w:p w:rsidRPr="008C6D87" w:rsidR="004B18E3" w:rsidP="004B18E3" w:rsidRDefault="004B18E3" w14:paraId="0CDF2E7D" w14:textId="77777777">
      <w:pPr>
        <w:widowControl/>
        <w:spacing w:after="0" w:line="240" w:lineRule="auto"/>
        <w:ind w:firstLine="4820"/>
        <w:rPr>
          <w:rFonts w:ascii="Times New Roman" w:hAnsi="Times New Roman" w:eastAsia="Times New Roman"/>
          <w:b/>
          <w:sz w:val="26"/>
          <w:szCs w:val="26"/>
          <w:lang w:val="lv-LV"/>
        </w:rPr>
      </w:pPr>
    </w:p>
    <w:p w:rsidRPr="008C6D87" w:rsidR="004B18E3" w:rsidP="004B18E3" w:rsidRDefault="004B18E3" w14:paraId="0CDF2E7E" w14:textId="77777777">
      <w:pPr>
        <w:widowControl/>
        <w:spacing w:after="0" w:line="240" w:lineRule="auto"/>
        <w:ind w:firstLine="4820"/>
        <w:rPr>
          <w:rFonts w:ascii="Times New Roman" w:hAnsi="Times New Roman" w:eastAsia="Times New Roman"/>
          <w:b/>
          <w:sz w:val="26"/>
          <w:szCs w:val="26"/>
          <w:lang w:val="lv-LV"/>
        </w:rPr>
      </w:pPr>
    </w:p>
    <w:p w:rsidRPr="008C6D87" w:rsidR="004B18E3" w:rsidP="004B18E3" w:rsidRDefault="00551402" w14:paraId="0CDF2E7F" w14:textId="77777777">
      <w:pPr>
        <w:widowControl/>
        <w:spacing w:after="0" w:line="240" w:lineRule="auto"/>
        <w:ind w:left="2160" w:firstLine="720"/>
        <w:rPr>
          <w:rFonts w:ascii="Times New Roman" w:hAnsi="Times New Roman" w:eastAsia="Times New Roman"/>
          <w:b/>
          <w:sz w:val="26"/>
          <w:szCs w:val="26"/>
          <w:lang w:val="lv-LV"/>
        </w:rPr>
      </w:pPr>
      <w:r w:rsidRPr="008C6D87">
        <w:rPr>
          <w:rFonts w:ascii="Times New Roman" w:hAnsi="Times New Roman" w:eastAsia="Times New Roman"/>
          <w:bCs/>
          <w:sz w:val="26"/>
          <w:szCs w:val="26"/>
          <w:lang w:val="lv-LV"/>
        </w:rPr>
        <w:t>Informācijai:</w:t>
      </w:r>
      <w:r w:rsidRPr="008C6D87">
        <w:rPr>
          <w:rFonts w:ascii="Times New Roman" w:hAnsi="Times New Roman" w:eastAsia="Times New Roman"/>
          <w:b/>
          <w:sz w:val="26"/>
          <w:szCs w:val="26"/>
          <w:lang w:val="lv-LV"/>
        </w:rPr>
        <w:t xml:space="preserve">         Ekonomikas ministrijai </w:t>
      </w:r>
    </w:p>
    <w:p w:rsidRPr="008C6D87" w:rsidR="004B18E3" w:rsidP="004B18E3" w:rsidRDefault="00551402" w14:paraId="0CDF2E80" w14:textId="77777777">
      <w:pPr>
        <w:widowControl/>
        <w:spacing w:after="0" w:line="240" w:lineRule="auto"/>
        <w:ind w:firstLine="4820"/>
        <w:rPr>
          <w:rFonts w:ascii="Times New Roman" w:hAnsi="Times New Roman" w:eastAsia="Times New Roman"/>
          <w:b/>
          <w:sz w:val="26"/>
          <w:szCs w:val="26"/>
          <w:lang w:val="lv-LV"/>
        </w:rPr>
      </w:pPr>
      <w:r w:rsidRPr="008C6D87">
        <w:rPr>
          <w:rFonts w:ascii="Times New Roman" w:hAnsi="Times New Roman" w:eastAsia="Times New Roman"/>
          <w:b/>
          <w:sz w:val="26"/>
          <w:szCs w:val="26"/>
          <w:lang w:val="lv-LV"/>
        </w:rPr>
        <w:t>Paziņošanai e-Adresē</w:t>
      </w:r>
    </w:p>
    <w:p w:rsidRPr="008C6D87" w:rsidR="004B18E3" w:rsidP="004B18E3" w:rsidRDefault="004B18E3" w14:paraId="0CDF2E81" w14:textId="77777777">
      <w:pPr>
        <w:widowControl/>
        <w:spacing w:after="0" w:line="240" w:lineRule="auto"/>
        <w:ind w:firstLine="4820"/>
        <w:rPr>
          <w:rFonts w:ascii="Times New Roman" w:hAnsi="Times New Roman" w:eastAsia="Times New Roman"/>
          <w:b/>
          <w:sz w:val="26"/>
          <w:szCs w:val="26"/>
          <w:lang w:val="lv-LV"/>
        </w:rPr>
      </w:pPr>
    </w:p>
    <w:p w:rsidRPr="008C6D87" w:rsidR="004B18E3" w:rsidP="004B18E3" w:rsidRDefault="00551402" w14:paraId="0CDF2E82" w14:textId="77777777">
      <w:pPr>
        <w:widowControl/>
        <w:spacing w:after="0" w:line="240" w:lineRule="auto"/>
        <w:ind w:firstLine="4820"/>
        <w:rPr>
          <w:rFonts w:ascii="Times New Roman" w:hAnsi="Times New Roman" w:eastAsia="Times New Roman"/>
          <w:b/>
          <w:sz w:val="26"/>
          <w:szCs w:val="26"/>
          <w:lang w:val="lv-LV"/>
        </w:rPr>
      </w:pPr>
      <w:r w:rsidRPr="008C6D87">
        <w:rPr>
          <w:rFonts w:ascii="Times New Roman" w:hAnsi="Times New Roman" w:eastAsia="Times New Roman"/>
          <w:b/>
          <w:sz w:val="26"/>
          <w:szCs w:val="26"/>
          <w:lang w:val="lv-LV"/>
        </w:rPr>
        <w:t xml:space="preserve">Sabiedrisko pakalpojumu regulēšanas </w:t>
      </w:r>
    </w:p>
    <w:p w:rsidRPr="008C6D87" w:rsidR="004B18E3" w:rsidP="004B18E3" w:rsidRDefault="00551402" w14:paraId="0CDF2E83" w14:textId="77777777">
      <w:pPr>
        <w:widowControl/>
        <w:spacing w:after="0" w:line="240" w:lineRule="auto"/>
        <w:ind w:firstLine="4820"/>
        <w:rPr>
          <w:rFonts w:ascii="Times New Roman" w:hAnsi="Times New Roman" w:eastAsia="Times New Roman"/>
          <w:b/>
          <w:sz w:val="26"/>
          <w:szCs w:val="26"/>
          <w:lang w:val="lv-LV"/>
        </w:rPr>
      </w:pPr>
      <w:r w:rsidRPr="008C6D87">
        <w:rPr>
          <w:rFonts w:ascii="Times New Roman" w:hAnsi="Times New Roman" w:eastAsia="Times New Roman"/>
          <w:b/>
          <w:sz w:val="26"/>
          <w:szCs w:val="26"/>
          <w:lang w:val="lv-LV"/>
        </w:rPr>
        <w:t>komisijai</w:t>
      </w:r>
    </w:p>
    <w:p w:rsidRPr="008C6D87" w:rsidR="004B18E3" w:rsidP="004B18E3" w:rsidRDefault="00551402" w14:paraId="0CDF2E84" w14:textId="77777777">
      <w:pPr>
        <w:widowControl/>
        <w:spacing w:after="0" w:line="240" w:lineRule="auto"/>
        <w:ind w:firstLine="4820"/>
        <w:rPr>
          <w:rFonts w:ascii="Times New Roman" w:hAnsi="Times New Roman" w:eastAsia="Times New Roman"/>
          <w:b/>
          <w:sz w:val="26"/>
          <w:szCs w:val="26"/>
          <w:lang w:val="lv-LV"/>
        </w:rPr>
      </w:pPr>
      <w:r w:rsidRPr="008C6D87">
        <w:rPr>
          <w:rFonts w:ascii="Times New Roman" w:hAnsi="Times New Roman" w:eastAsia="Times New Roman"/>
          <w:b/>
          <w:sz w:val="26"/>
          <w:szCs w:val="26"/>
          <w:lang w:val="lv-LV"/>
        </w:rPr>
        <w:t>Paziņošanai e-Adresē</w:t>
      </w:r>
    </w:p>
    <w:p w:rsidRPr="008C6D87" w:rsidR="004B18E3" w:rsidP="004B18E3" w:rsidRDefault="004B18E3" w14:paraId="0CDF2E85" w14:textId="77777777">
      <w:pPr>
        <w:widowControl/>
        <w:spacing w:after="0" w:line="240" w:lineRule="auto"/>
        <w:ind w:firstLine="4820"/>
        <w:rPr>
          <w:rFonts w:ascii="Times New Roman" w:hAnsi="Times New Roman" w:eastAsia="Times New Roman"/>
          <w:b/>
          <w:sz w:val="26"/>
          <w:szCs w:val="26"/>
          <w:lang w:val="lv-LV"/>
        </w:rPr>
      </w:pPr>
    </w:p>
    <w:p w:rsidRPr="008C6D87" w:rsidR="004B18E3" w:rsidP="004B18E3" w:rsidRDefault="00551402" w14:paraId="0CDF2E86" w14:textId="77777777">
      <w:pPr>
        <w:widowControl/>
        <w:tabs>
          <w:tab w:val="left" w:pos="7200"/>
        </w:tabs>
        <w:spacing w:before="240" w:after="240" w:line="240" w:lineRule="auto"/>
        <w:jc w:val="both"/>
        <w:rPr>
          <w:rFonts w:ascii="Times New Roman" w:hAnsi="Times New Roman" w:eastAsia="Times New Roman"/>
          <w:i/>
          <w:sz w:val="26"/>
          <w:szCs w:val="26"/>
          <w:lang w:val="lv-LV"/>
        </w:rPr>
      </w:pPr>
      <w:r w:rsidRPr="008C6D87">
        <w:rPr>
          <w:rFonts w:ascii="Times New Roman" w:hAnsi="Times New Roman" w:eastAsia="Times New Roman"/>
          <w:i/>
          <w:sz w:val="26"/>
          <w:szCs w:val="26"/>
          <w:lang w:val="lv-LV"/>
        </w:rPr>
        <w:t xml:space="preserve">Par </w:t>
      </w:r>
      <w:r w:rsidRPr="008C6D87">
        <w:rPr>
          <w:rFonts w:ascii="Times New Roman" w:hAnsi="Times New Roman" w:eastAsia="Times New Roman"/>
          <w:i/>
          <w:sz w:val="26"/>
          <w:szCs w:val="26"/>
          <w:lang w:val="lv-LV"/>
        </w:rPr>
        <w:t>likumprojektu „Elektronisko sakaru likums”(VSS-765) - papildinājumi</w:t>
      </w:r>
    </w:p>
    <w:p w:rsidRPr="008C6D87" w:rsidR="004B18E3" w:rsidP="004B18E3" w:rsidRDefault="00551402" w14:paraId="0CDF2E87" w14:textId="77777777">
      <w:pPr>
        <w:widowControl/>
        <w:tabs>
          <w:tab w:val="left" w:pos="7200"/>
        </w:tabs>
        <w:spacing w:after="0" w:line="240" w:lineRule="auto"/>
        <w:ind w:firstLine="709"/>
        <w:jc w:val="both"/>
        <w:rPr>
          <w:rFonts w:ascii="Times New Roman" w:hAnsi="Times New Roman" w:eastAsia="Times New Roman"/>
          <w:sz w:val="26"/>
          <w:szCs w:val="26"/>
          <w:lang w:val="lv-LV"/>
        </w:rPr>
      </w:pPr>
      <w:r w:rsidRPr="008C6D87">
        <w:rPr>
          <w:rFonts w:ascii="Times New Roman" w:hAnsi="Times New Roman" w:eastAsia="Times New Roman"/>
          <w:sz w:val="26"/>
          <w:szCs w:val="26"/>
          <w:lang w:val="lv-LV"/>
        </w:rPr>
        <w:t xml:space="preserve">Patērētāju tiesību aizsardzības centrs (turpmāk – </w:t>
      </w:r>
      <w:r w:rsidRPr="008C6D87">
        <w:rPr>
          <w:rFonts w:ascii="Times New Roman" w:hAnsi="Times New Roman" w:eastAsia="Times New Roman"/>
          <w:i/>
          <w:sz w:val="26"/>
          <w:szCs w:val="26"/>
          <w:lang w:val="lv-LV"/>
        </w:rPr>
        <w:t>PTAC</w:t>
      </w:r>
      <w:r w:rsidRPr="008C6D87">
        <w:rPr>
          <w:rFonts w:ascii="Times New Roman" w:hAnsi="Times New Roman" w:eastAsia="Times New Roman"/>
          <w:sz w:val="26"/>
          <w:szCs w:val="26"/>
          <w:lang w:val="lv-LV"/>
        </w:rPr>
        <w:t xml:space="preserve">), turpinot izvērtēt Valsts sekretāru sanāksmē izsludināto likumprojektu „Elektronisko sakaru likums” (turpmāk – </w:t>
      </w:r>
      <w:r w:rsidRPr="008C6D87">
        <w:rPr>
          <w:rFonts w:ascii="Times New Roman" w:hAnsi="Times New Roman" w:eastAsia="Times New Roman"/>
          <w:i/>
          <w:sz w:val="26"/>
          <w:szCs w:val="26"/>
          <w:lang w:val="lv-LV"/>
        </w:rPr>
        <w:t>Likumprojekts</w:t>
      </w:r>
      <w:r w:rsidRPr="008C6D87">
        <w:rPr>
          <w:rFonts w:ascii="Times New Roman" w:hAnsi="Times New Roman" w:eastAsia="Times New Roman"/>
          <w:sz w:val="26"/>
          <w:szCs w:val="26"/>
          <w:lang w:val="lv-LV"/>
        </w:rPr>
        <w:t>), papil</w:t>
      </w:r>
      <w:r w:rsidRPr="008C6D87">
        <w:rPr>
          <w:rFonts w:ascii="Times New Roman" w:hAnsi="Times New Roman" w:eastAsia="Times New Roman"/>
          <w:sz w:val="26"/>
          <w:szCs w:val="26"/>
          <w:lang w:val="lv-LV"/>
        </w:rPr>
        <w:t>dus iepriekš sniegtajam viedoklim vērš uzmanību uz turpmāk norādīto.</w:t>
      </w:r>
    </w:p>
    <w:p w:rsidRPr="008C6D87" w:rsidR="004B18E3" w:rsidP="004B18E3" w:rsidRDefault="00551402" w14:paraId="0CDF2E88" w14:textId="77777777">
      <w:pPr>
        <w:widowControl/>
        <w:tabs>
          <w:tab w:val="left" w:pos="7200"/>
        </w:tabs>
        <w:spacing w:after="0" w:line="240" w:lineRule="auto"/>
        <w:ind w:firstLine="709"/>
        <w:jc w:val="both"/>
        <w:rPr>
          <w:rFonts w:ascii="Times New Roman" w:hAnsi="Times New Roman" w:eastAsia="Times New Roman"/>
          <w:sz w:val="26"/>
          <w:szCs w:val="26"/>
          <w:lang w:val="lv-LV"/>
        </w:rPr>
      </w:pPr>
      <w:r w:rsidRPr="008C6D87">
        <w:rPr>
          <w:rFonts w:ascii="Times New Roman" w:hAnsi="Times New Roman" w:eastAsia="Times New Roman"/>
          <w:sz w:val="26"/>
          <w:szCs w:val="26"/>
          <w:lang w:val="lv-LV"/>
        </w:rPr>
        <w:t xml:space="preserve">[1] EIROPAS PARLAMENTA UN PADOMES 2018.gada 11.decembra DIREKTĪVAS  (ES) 2018/1972 </w:t>
      </w:r>
      <w:r w:rsidRPr="008C6D87">
        <w:rPr>
          <w:rFonts w:ascii="Times New Roman" w:hAnsi="Times New Roman" w:eastAsia="Times New Roman"/>
          <w:i/>
          <w:iCs/>
          <w:sz w:val="26"/>
          <w:szCs w:val="26"/>
          <w:lang w:val="lv-LV"/>
        </w:rPr>
        <w:t>par Eiropas Elektronisko sakaru kodeksa izveidi</w:t>
      </w:r>
      <w:r w:rsidRPr="008C6D87">
        <w:rPr>
          <w:rFonts w:ascii="Times New Roman" w:hAnsi="Times New Roman" w:eastAsia="Times New Roman"/>
          <w:sz w:val="26"/>
          <w:szCs w:val="26"/>
          <w:lang w:val="lv-LV"/>
        </w:rPr>
        <w:t xml:space="preserve"> (turpmāk – </w:t>
      </w:r>
      <w:r w:rsidRPr="008C6D87">
        <w:rPr>
          <w:rFonts w:ascii="Times New Roman" w:hAnsi="Times New Roman" w:eastAsia="Times New Roman"/>
          <w:i/>
          <w:iCs/>
          <w:sz w:val="26"/>
          <w:szCs w:val="26"/>
          <w:lang w:val="lv-LV"/>
        </w:rPr>
        <w:t>Direktīva</w:t>
      </w:r>
      <w:r w:rsidRPr="008C6D87">
        <w:rPr>
          <w:rFonts w:ascii="Times New Roman" w:hAnsi="Times New Roman" w:eastAsia="Times New Roman"/>
          <w:sz w:val="26"/>
          <w:szCs w:val="26"/>
          <w:lang w:val="lv-LV"/>
        </w:rPr>
        <w:t>) preambulas 273.apsvērumā ir skaidr</w:t>
      </w:r>
      <w:r w:rsidRPr="008C6D87">
        <w:rPr>
          <w:rFonts w:ascii="Times New Roman" w:hAnsi="Times New Roman" w:eastAsia="Times New Roman"/>
          <w:sz w:val="26"/>
          <w:szCs w:val="26"/>
          <w:lang w:val="lv-LV"/>
        </w:rPr>
        <w:t>ots:</w:t>
      </w:r>
    </w:p>
    <w:p w:rsidRPr="008C6D87" w:rsidR="004B18E3" w:rsidP="004B18E3" w:rsidRDefault="00551402" w14:paraId="0CDF2E89" w14:textId="77777777">
      <w:pPr>
        <w:pStyle w:val="ListParagraph"/>
        <w:numPr>
          <w:ilvl w:val="0"/>
          <w:numId w:val="13"/>
        </w:numPr>
        <w:tabs>
          <w:tab w:val="left" w:pos="7200"/>
        </w:tabs>
        <w:jc w:val="both"/>
        <w:rPr>
          <w:rFonts w:ascii="Times New Roman" w:hAnsi="Times New Roman" w:eastAsia="Times New Roman"/>
          <w:sz w:val="26"/>
          <w:szCs w:val="26"/>
        </w:rPr>
      </w:pPr>
      <w:r w:rsidRPr="008C6D87">
        <w:rPr>
          <w:rFonts w:ascii="Times New Roman" w:hAnsi="Times New Roman" w:eastAsia="Times New Roman"/>
          <w:sz w:val="26"/>
          <w:szCs w:val="26"/>
        </w:rPr>
        <w:t xml:space="preserve">lai pilnībā izmantotu konkurences vides piedāvātās priekšrocības, </w:t>
      </w:r>
      <w:r w:rsidRPr="008C6D87">
        <w:rPr>
          <w:rFonts w:ascii="Times New Roman" w:hAnsi="Times New Roman" w:eastAsia="Times New Roman"/>
          <w:sz w:val="26"/>
          <w:szCs w:val="26"/>
          <w:u w:val="single"/>
        </w:rPr>
        <w:t>patērētājiem vajadzētu būt iespējai izdarīt izvēli, pamatojoties uz informāciju, un mainīt pakalpojumu sniedzēju, kad tas vislabāk atbilst patērētāju interesēm</w:t>
      </w:r>
      <w:r w:rsidRPr="008C6D87">
        <w:rPr>
          <w:rFonts w:ascii="Times New Roman" w:hAnsi="Times New Roman" w:eastAsia="Times New Roman"/>
          <w:sz w:val="26"/>
          <w:szCs w:val="26"/>
        </w:rPr>
        <w:t xml:space="preserve">. </w:t>
      </w:r>
    </w:p>
    <w:p w:rsidRPr="008C6D87" w:rsidR="004B18E3" w:rsidP="004B18E3" w:rsidRDefault="00551402" w14:paraId="0CDF2E8A" w14:textId="77777777">
      <w:pPr>
        <w:pStyle w:val="ListParagraph"/>
        <w:numPr>
          <w:ilvl w:val="0"/>
          <w:numId w:val="13"/>
        </w:numPr>
        <w:tabs>
          <w:tab w:val="left" w:pos="7200"/>
        </w:tabs>
        <w:jc w:val="both"/>
        <w:rPr>
          <w:rFonts w:ascii="Times New Roman" w:hAnsi="Times New Roman" w:eastAsia="Times New Roman"/>
          <w:sz w:val="26"/>
          <w:szCs w:val="26"/>
        </w:rPr>
      </w:pPr>
      <w:r w:rsidRPr="008C6D87">
        <w:rPr>
          <w:rFonts w:ascii="Times New Roman" w:hAnsi="Times New Roman" w:eastAsia="Times New Roman"/>
          <w:sz w:val="26"/>
          <w:szCs w:val="26"/>
        </w:rPr>
        <w:t xml:space="preserve">Ir svarīgi </w:t>
      </w:r>
      <w:r w:rsidRPr="008C6D87">
        <w:rPr>
          <w:rFonts w:ascii="Times New Roman" w:hAnsi="Times New Roman" w:eastAsia="Times New Roman"/>
          <w:sz w:val="26"/>
          <w:szCs w:val="26"/>
        </w:rPr>
        <w:t>nodrošināt</w:t>
      </w:r>
      <w:r w:rsidRPr="008C6D87">
        <w:rPr>
          <w:rFonts w:ascii="Times New Roman" w:hAnsi="Times New Roman" w:eastAsia="Times New Roman"/>
          <w:sz w:val="26"/>
          <w:szCs w:val="26"/>
          <w:u w:val="single"/>
        </w:rPr>
        <w:t>, lai patērētājus šādā gadījumā nekavētu tiesiski, tehniski vai praktiski šķēršļi</w:t>
      </w:r>
      <w:r w:rsidRPr="008C6D87">
        <w:rPr>
          <w:rFonts w:ascii="Times New Roman" w:hAnsi="Times New Roman" w:eastAsia="Times New Roman"/>
          <w:sz w:val="26"/>
          <w:szCs w:val="26"/>
        </w:rPr>
        <w:t xml:space="preserve">, tostarp līguma nosacījumi, procedūras un </w:t>
      </w:r>
      <w:r w:rsidRPr="008C6D87">
        <w:rPr>
          <w:rFonts w:ascii="Times New Roman" w:hAnsi="Times New Roman" w:eastAsia="Times New Roman"/>
          <w:sz w:val="26"/>
          <w:szCs w:val="26"/>
          <w:u w:val="single"/>
        </w:rPr>
        <w:t>maksājumi.</w:t>
      </w:r>
      <w:r w:rsidRPr="008C6D87">
        <w:rPr>
          <w:rFonts w:ascii="Times New Roman" w:hAnsi="Times New Roman" w:eastAsia="Times New Roman"/>
          <w:sz w:val="26"/>
          <w:szCs w:val="26"/>
        </w:rPr>
        <w:t xml:space="preserve"> Tas neizslēdz iespēju pakalpojumu sniedzējiem līgumā ar patērētāju noteikt samērīgu minimālo līguma termiņu, ka</w:t>
      </w:r>
      <w:r w:rsidRPr="008C6D87">
        <w:rPr>
          <w:rFonts w:ascii="Times New Roman" w:hAnsi="Times New Roman" w:eastAsia="Times New Roman"/>
          <w:sz w:val="26"/>
          <w:szCs w:val="26"/>
        </w:rPr>
        <w:t xml:space="preserve">s nepārsniedz 24 mēnešus. </w:t>
      </w:r>
    </w:p>
    <w:p w:rsidRPr="008C6D87" w:rsidR="004B18E3" w:rsidP="004B18E3" w:rsidRDefault="00551402" w14:paraId="0CDF2E8B" w14:textId="77777777">
      <w:pPr>
        <w:pStyle w:val="ListParagraph"/>
        <w:numPr>
          <w:ilvl w:val="0"/>
          <w:numId w:val="13"/>
        </w:numPr>
        <w:tabs>
          <w:tab w:val="left" w:pos="7200"/>
        </w:tabs>
        <w:jc w:val="both"/>
        <w:rPr>
          <w:rFonts w:ascii="Times New Roman" w:hAnsi="Times New Roman" w:eastAsia="Times New Roman"/>
          <w:sz w:val="26"/>
          <w:szCs w:val="26"/>
        </w:rPr>
      </w:pPr>
      <w:r w:rsidRPr="008C6D87">
        <w:rPr>
          <w:rFonts w:ascii="Times New Roman" w:hAnsi="Times New Roman" w:eastAsia="Times New Roman"/>
          <w:sz w:val="26"/>
          <w:szCs w:val="26"/>
        </w:rPr>
        <w:t xml:space="preserve">Tomēr dalībvalstīm vajadzētu būt iespējai saglabāt vai ieviest noteikumus par īsāku maksimālo ilgumu un ļaut patērētājiem mainīt tarifu plānus </w:t>
      </w:r>
      <w:r w:rsidRPr="008C6D87">
        <w:rPr>
          <w:rFonts w:ascii="Times New Roman" w:hAnsi="Times New Roman" w:eastAsia="Times New Roman"/>
          <w:sz w:val="26"/>
          <w:szCs w:val="26"/>
          <w:u w:val="single"/>
        </w:rPr>
        <w:t>vai izbeigt līgumu tā darbības laikā bez papildu izmaksām</w:t>
      </w:r>
      <w:r w:rsidRPr="008C6D87">
        <w:rPr>
          <w:rFonts w:ascii="Times New Roman" w:hAnsi="Times New Roman" w:eastAsia="Times New Roman"/>
          <w:sz w:val="26"/>
          <w:szCs w:val="26"/>
        </w:rPr>
        <w:t>, ņemot vērā apstākļus valstī</w:t>
      </w:r>
      <w:r w:rsidRPr="008C6D87">
        <w:rPr>
          <w:rFonts w:ascii="Times New Roman" w:hAnsi="Times New Roman" w:eastAsia="Times New Roman"/>
          <w:sz w:val="26"/>
          <w:szCs w:val="26"/>
        </w:rPr>
        <w:t>, piemēram, konkurences līmeni un to, cik stabili ir ieguldījumi tīklos. [..]</w:t>
      </w:r>
    </w:p>
    <w:p w:rsidRPr="008C6D87" w:rsidR="004B18E3" w:rsidP="004B18E3" w:rsidRDefault="004B18E3" w14:paraId="0CDF2E8C" w14:textId="77777777">
      <w:pPr>
        <w:tabs>
          <w:tab w:val="left" w:pos="7200"/>
        </w:tabs>
        <w:jc w:val="both"/>
        <w:rPr>
          <w:rFonts w:ascii="Times New Roman" w:hAnsi="Times New Roman" w:eastAsia="Times New Roman"/>
          <w:i/>
          <w:iCs/>
          <w:sz w:val="26"/>
          <w:szCs w:val="26"/>
          <w:lang w:val="lv-LV"/>
        </w:rPr>
      </w:pPr>
    </w:p>
    <w:p w:rsidRPr="008C6D87" w:rsidR="004B18E3" w:rsidP="004B18E3" w:rsidRDefault="004B18E3" w14:paraId="0CDF2E8D" w14:textId="77777777">
      <w:pPr>
        <w:tabs>
          <w:tab w:val="left" w:pos="7200"/>
        </w:tabs>
        <w:jc w:val="both"/>
        <w:rPr>
          <w:rFonts w:ascii="Times New Roman" w:hAnsi="Times New Roman" w:eastAsia="Times New Roman"/>
          <w:i/>
          <w:iCs/>
          <w:sz w:val="26"/>
          <w:szCs w:val="26"/>
          <w:lang w:val="lv-LV"/>
        </w:rPr>
      </w:pPr>
    </w:p>
    <w:p w:rsidRPr="008C6D87" w:rsidR="004B18E3" w:rsidP="004B18E3" w:rsidRDefault="00551402" w14:paraId="0CDF2E8E" w14:textId="77777777">
      <w:pPr>
        <w:tabs>
          <w:tab w:val="left" w:pos="720"/>
          <w:tab w:val="left" w:pos="7200"/>
        </w:tabs>
        <w:spacing w:after="0"/>
        <w:jc w:val="both"/>
        <w:rPr>
          <w:rFonts w:ascii="Times New Roman" w:hAnsi="Times New Roman" w:eastAsia="Times New Roman"/>
          <w:sz w:val="26"/>
          <w:szCs w:val="26"/>
          <w:lang w:val="lv-LV"/>
        </w:rPr>
      </w:pPr>
      <w:r w:rsidRPr="008C6D87">
        <w:rPr>
          <w:rFonts w:ascii="Times New Roman" w:hAnsi="Times New Roman" w:eastAsia="Times New Roman"/>
          <w:i/>
          <w:iCs/>
          <w:sz w:val="26"/>
          <w:szCs w:val="26"/>
          <w:lang w:val="lv-LV"/>
        </w:rPr>
        <w:lastRenderedPageBreak/>
        <w:tab/>
        <w:t xml:space="preserve">Direktīvas </w:t>
      </w:r>
      <w:r w:rsidRPr="008C6D87">
        <w:rPr>
          <w:rFonts w:ascii="Times New Roman" w:hAnsi="Times New Roman" w:eastAsia="Times New Roman"/>
          <w:sz w:val="26"/>
          <w:szCs w:val="26"/>
          <w:lang w:val="lv-LV"/>
        </w:rPr>
        <w:t>preambulas 263.apsvērumā norādīts:</w:t>
      </w:r>
    </w:p>
    <w:p w:rsidRPr="008C6D87" w:rsidR="004B18E3" w:rsidP="004B18E3" w:rsidRDefault="00551402" w14:paraId="0CDF2E8F" w14:textId="77777777">
      <w:pPr>
        <w:pStyle w:val="ListParagraph"/>
        <w:numPr>
          <w:ilvl w:val="0"/>
          <w:numId w:val="13"/>
        </w:numPr>
        <w:tabs>
          <w:tab w:val="left" w:pos="7200"/>
        </w:tabs>
        <w:jc w:val="both"/>
        <w:rPr>
          <w:rFonts w:ascii="Times New Roman" w:hAnsi="Times New Roman" w:eastAsia="Times New Roman"/>
          <w:sz w:val="26"/>
          <w:szCs w:val="26"/>
        </w:rPr>
      </w:pPr>
      <w:r w:rsidRPr="008C6D87">
        <w:rPr>
          <w:rFonts w:ascii="Times New Roman" w:hAnsi="Times New Roman" w:eastAsia="Times New Roman"/>
          <w:sz w:val="26"/>
          <w:szCs w:val="26"/>
        </w:rPr>
        <w:t xml:space="preserve">[..]  Ja galalietotājs izvēlas paturēt galiekārtu, kas līguma noslēgšanas brīdī tika piedāvāta komplektā ar līgumu, </w:t>
      </w:r>
      <w:r w:rsidRPr="008C6D87">
        <w:rPr>
          <w:rFonts w:ascii="Times New Roman" w:hAnsi="Times New Roman" w:eastAsia="Times New Roman"/>
          <w:sz w:val="26"/>
          <w:szCs w:val="26"/>
          <w:u w:val="single"/>
        </w:rPr>
        <w:t>jebkurai komp</w:t>
      </w:r>
      <w:r w:rsidRPr="008C6D87">
        <w:rPr>
          <w:rFonts w:ascii="Times New Roman" w:hAnsi="Times New Roman" w:eastAsia="Times New Roman"/>
          <w:sz w:val="26"/>
          <w:szCs w:val="26"/>
          <w:u w:val="single"/>
        </w:rPr>
        <w:t>ensācijai</w:t>
      </w:r>
      <w:r w:rsidRPr="008C6D87">
        <w:rPr>
          <w:rFonts w:ascii="Times New Roman" w:hAnsi="Times New Roman" w:eastAsia="Times New Roman"/>
          <w:sz w:val="26"/>
          <w:szCs w:val="26"/>
        </w:rPr>
        <w:t xml:space="preserve">, kas jāmaksā, nebūtu jāpārsniedz galiekārtas </w:t>
      </w:r>
      <w:proofErr w:type="spellStart"/>
      <w:r w:rsidRPr="008C6D87">
        <w:rPr>
          <w:rFonts w:ascii="Times New Roman" w:hAnsi="Times New Roman" w:eastAsia="Times New Roman"/>
          <w:i/>
          <w:iCs/>
          <w:sz w:val="26"/>
          <w:szCs w:val="26"/>
        </w:rPr>
        <w:t>pro</w:t>
      </w:r>
      <w:proofErr w:type="spellEnd"/>
      <w:r w:rsidRPr="008C6D87">
        <w:rPr>
          <w:rFonts w:ascii="Times New Roman" w:hAnsi="Times New Roman" w:eastAsia="Times New Roman"/>
          <w:i/>
          <w:iCs/>
          <w:sz w:val="26"/>
          <w:szCs w:val="26"/>
        </w:rPr>
        <w:t xml:space="preserve"> rata </w:t>
      </w:r>
      <w:proofErr w:type="spellStart"/>
      <w:r w:rsidRPr="008C6D87">
        <w:rPr>
          <w:rFonts w:ascii="Times New Roman" w:hAnsi="Times New Roman" w:eastAsia="Times New Roman"/>
          <w:i/>
          <w:iCs/>
          <w:sz w:val="26"/>
          <w:szCs w:val="26"/>
        </w:rPr>
        <w:t>temporis</w:t>
      </w:r>
      <w:proofErr w:type="spellEnd"/>
      <w:r w:rsidRPr="008C6D87">
        <w:rPr>
          <w:rFonts w:ascii="Times New Roman" w:hAnsi="Times New Roman" w:eastAsia="Times New Roman"/>
          <w:sz w:val="26"/>
          <w:szCs w:val="26"/>
        </w:rPr>
        <w:t xml:space="preserve"> vērtība, ko aprēķina, balstoties uz tās vērtību līguma noslēgšanas brīdī vai uz atlikušo pakalpojuma maksas daļu līdz līguma darbības beigām – atkarībā no tā, kura summa ir mazāka [..].</w:t>
      </w:r>
    </w:p>
    <w:p w:rsidRPr="008C6D87" w:rsidR="004B18E3" w:rsidP="004B18E3" w:rsidRDefault="00551402" w14:paraId="0CDF2E90" w14:textId="77777777">
      <w:pPr>
        <w:widowControl/>
        <w:tabs>
          <w:tab w:val="left" w:pos="7200"/>
        </w:tabs>
        <w:spacing w:after="0" w:line="240" w:lineRule="auto"/>
        <w:ind w:firstLine="709"/>
        <w:jc w:val="both"/>
        <w:rPr>
          <w:rFonts w:ascii="Times New Roman" w:hAnsi="Times New Roman" w:eastAsia="Times New Roman"/>
          <w:sz w:val="26"/>
          <w:szCs w:val="26"/>
          <w:lang w:val="lv-LV"/>
        </w:rPr>
      </w:pPr>
      <w:r w:rsidRPr="008C6D87">
        <w:rPr>
          <w:rFonts w:ascii="Times New Roman" w:hAnsi="Times New Roman" w:eastAsia="Times New Roman"/>
          <w:i/>
          <w:iCs/>
          <w:sz w:val="26"/>
          <w:szCs w:val="26"/>
          <w:lang w:val="lv-LV"/>
        </w:rPr>
        <w:t>Direktīvas</w:t>
      </w:r>
      <w:r w:rsidRPr="008C6D87">
        <w:rPr>
          <w:rFonts w:ascii="Times New Roman" w:hAnsi="Times New Roman" w:eastAsia="Times New Roman"/>
          <w:sz w:val="26"/>
          <w:szCs w:val="26"/>
          <w:lang w:val="lv-LV"/>
        </w:rPr>
        <w:t xml:space="preserve"> 105.pantā ir noteikts regulējums attiecībā uz elektronisko</w:t>
      </w:r>
      <w:r w:rsidRPr="008C6D87">
        <w:rPr>
          <w:rFonts w:ascii="Times New Roman" w:hAnsi="Times New Roman" w:eastAsia="Times New Roman"/>
          <w:sz w:val="26"/>
          <w:szCs w:val="26"/>
          <w:lang w:val="lv-LV"/>
        </w:rPr>
        <w:t xml:space="preserve">  sakaru līguma termiņu un līguma izbeigšanu 1.punktā noteikts:</w:t>
      </w:r>
    </w:p>
    <w:p w:rsidRPr="008C6D87" w:rsidR="004B18E3" w:rsidP="004B18E3" w:rsidRDefault="00551402" w14:paraId="0CDF2E91" w14:textId="77777777">
      <w:pPr>
        <w:pStyle w:val="ListParagraph"/>
        <w:numPr>
          <w:ilvl w:val="0"/>
          <w:numId w:val="12"/>
        </w:numPr>
        <w:tabs>
          <w:tab w:val="left" w:pos="7200"/>
        </w:tabs>
        <w:jc w:val="both"/>
        <w:rPr>
          <w:rFonts w:ascii="Times New Roman" w:hAnsi="Times New Roman" w:eastAsia="Times New Roman"/>
          <w:sz w:val="26"/>
          <w:szCs w:val="26"/>
        </w:rPr>
      </w:pPr>
      <w:r w:rsidRPr="008C6D87">
        <w:rPr>
          <w:rFonts w:ascii="Times New Roman" w:hAnsi="Times New Roman" w:eastAsia="Times New Roman"/>
          <w:sz w:val="26"/>
          <w:szCs w:val="26"/>
        </w:rPr>
        <w:t xml:space="preserve">Dalībvalstis nodrošina, ka </w:t>
      </w:r>
      <w:r w:rsidRPr="008C6D87">
        <w:rPr>
          <w:rFonts w:ascii="Times New Roman" w:hAnsi="Times New Roman" w:eastAsia="Times New Roman"/>
          <w:sz w:val="26"/>
          <w:szCs w:val="26"/>
          <w:u w:val="single"/>
        </w:rPr>
        <w:t>līguma izbeigšanas nosacījumi un procedūras neattur no pakalpojumu sniedzēja maiņas</w:t>
      </w:r>
      <w:r w:rsidRPr="008C6D87">
        <w:rPr>
          <w:rFonts w:ascii="Times New Roman" w:hAnsi="Times New Roman" w:eastAsia="Times New Roman"/>
          <w:sz w:val="26"/>
          <w:szCs w:val="26"/>
        </w:rPr>
        <w:t xml:space="preserve"> [..].</w:t>
      </w:r>
    </w:p>
    <w:p w:rsidRPr="008C6D87" w:rsidR="004B18E3" w:rsidP="004B18E3" w:rsidRDefault="00551402" w14:paraId="0CDF2E92" w14:textId="77777777">
      <w:pPr>
        <w:widowControl/>
        <w:tabs>
          <w:tab w:val="left" w:pos="7200"/>
        </w:tabs>
        <w:spacing w:after="0" w:line="240" w:lineRule="auto"/>
        <w:ind w:firstLine="709"/>
        <w:jc w:val="both"/>
        <w:rPr>
          <w:rFonts w:ascii="Times New Roman" w:hAnsi="Times New Roman" w:eastAsia="Times New Roman"/>
          <w:i/>
          <w:iCs/>
          <w:sz w:val="26"/>
          <w:szCs w:val="26"/>
          <w:lang w:val="lv-LV"/>
        </w:rPr>
      </w:pPr>
      <w:r w:rsidRPr="008C6D87">
        <w:rPr>
          <w:rFonts w:ascii="Times New Roman" w:hAnsi="Times New Roman" w:eastAsia="Times New Roman"/>
          <w:sz w:val="26"/>
          <w:szCs w:val="26"/>
          <w:lang w:val="lv-LV"/>
        </w:rPr>
        <w:t xml:space="preserve">Savukārt </w:t>
      </w:r>
      <w:r w:rsidRPr="008C6D87">
        <w:rPr>
          <w:rFonts w:ascii="Times New Roman" w:hAnsi="Times New Roman" w:eastAsia="Times New Roman"/>
          <w:i/>
          <w:iCs/>
          <w:sz w:val="26"/>
          <w:szCs w:val="26"/>
          <w:lang w:val="lv-LV"/>
        </w:rPr>
        <w:t xml:space="preserve">Direktīvas </w:t>
      </w:r>
      <w:r w:rsidRPr="008C6D87">
        <w:rPr>
          <w:rFonts w:ascii="Times New Roman" w:hAnsi="Times New Roman" w:eastAsia="Times New Roman"/>
          <w:sz w:val="26"/>
          <w:szCs w:val="26"/>
          <w:lang w:val="lv-LV"/>
        </w:rPr>
        <w:t>105.panta 6.punkts nosaka:</w:t>
      </w:r>
    </w:p>
    <w:p w:rsidRPr="008C6D87" w:rsidR="004B18E3" w:rsidP="004B18E3" w:rsidRDefault="00551402" w14:paraId="0CDF2E93" w14:textId="77777777">
      <w:pPr>
        <w:pStyle w:val="ListParagraph"/>
        <w:numPr>
          <w:ilvl w:val="0"/>
          <w:numId w:val="12"/>
        </w:numPr>
        <w:tabs>
          <w:tab w:val="left" w:pos="7200"/>
        </w:tabs>
        <w:jc w:val="both"/>
        <w:rPr>
          <w:rFonts w:ascii="Times New Roman" w:hAnsi="Times New Roman" w:eastAsia="Times New Roman"/>
          <w:sz w:val="26"/>
          <w:szCs w:val="26"/>
        </w:rPr>
      </w:pPr>
      <w:r w:rsidRPr="008C6D87">
        <w:rPr>
          <w:rFonts w:ascii="Times New Roman" w:hAnsi="Times New Roman" w:eastAsia="Times New Roman"/>
          <w:sz w:val="26"/>
          <w:szCs w:val="26"/>
        </w:rPr>
        <w:t xml:space="preserve">Ja saskaņā ar </w:t>
      </w:r>
      <w:r w:rsidRPr="008C6D87">
        <w:rPr>
          <w:rFonts w:ascii="Times New Roman" w:hAnsi="Times New Roman" w:eastAsia="Times New Roman"/>
          <w:i/>
          <w:iCs/>
          <w:sz w:val="26"/>
          <w:szCs w:val="26"/>
        </w:rPr>
        <w:t>Direktīvu,</w:t>
      </w:r>
      <w:r w:rsidRPr="008C6D87">
        <w:rPr>
          <w:rFonts w:ascii="Times New Roman" w:hAnsi="Times New Roman" w:eastAsia="Times New Roman"/>
          <w:sz w:val="26"/>
          <w:szCs w:val="26"/>
        </w:rPr>
        <w:t xml:space="preserve"> cit</w:t>
      </w:r>
      <w:r w:rsidRPr="008C6D87">
        <w:rPr>
          <w:rFonts w:ascii="Times New Roman" w:hAnsi="Times New Roman" w:eastAsia="Times New Roman"/>
          <w:sz w:val="26"/>
          <w:szCs w:val="26"/>
        </w:rPr>
        <w:t xml:space="preserve">iem Savienības tiesību aktu vai valsts tiesību aktu noteikumiem galalietotājam ir tiesības pirms līguma termiņa beigām izbeigt līgumu par publiski pieejamu elektronisko sakaru pakalpojumu, kas nav </w:t>
      </w:r>
      <w:proofErr w:type="spellStart"/>
      <w:r w:rsidRPr="008C6D87">
        <w:rPr>
          <w:rFonts w:ascii="Times New Roman" w:hAnsi="Times New Roman" w:eastAsia="Times New Roman"/>
          <w:sz w:val="26"/>
          <w:szCs w:val="26"/>
        </w:rPr>
        <w:t>numurneatkarīgi</w:t>
      </w:r>
      <w:proofErr w:type="spellEnd"/>
      <w:r w:rsidRPr="008C6D87">
        <w:rPr>
          <w:rFonts w:ascii="Times New Roman" w:hAnsi="Times New Roman" w:eastAsia="Times New Roman"/>
          <w:sz w:val="26"/>
          <w:szCs w:val="26"/>
        </w:rPr>
        <w:t xml:space="preserve"> </w:t>
      </w:r>
      <w:proofErr w:type="spellStart"/>
      <w:r w:rsidRPr="008C6D87">
        <w:rPr>
          <w:rFonts w:ascii="Times New Roman" w:hAnsi="Times New Roman" w:eastAsia="Times New Roman"/>
          <w:sz w:val="26"/>
          <w:szCs w:val="26"/>
        </w:rPr>
        <w:t>starppersonu</w:t>
      </w:r>
      <w:proofErr w:type="spellEnd"/>
      <w:r w:rsidRPr="008C6D87">
        <w:rPr>
          <w:rFonts w:ascii="Times New Roman" w:hAnsi="Times New Roman" w:eastAsia="Times New Roman"/>
          <w:sz w:val="26"/>
          <w:szCs w:val="26"/>
        </w:rPr>
        <w:t xml:space="preserve"> sakaru pakalpojumi, </w:t>
      </w:r>
      <w:r w:rsidRPr="008C6D87">
        <w:rPr>
          <w:rFonts w:ascii="Times New Roman" w:hAnsi="Times New Roman" w:eastAsia="Times New Roman"/>
          <w:sz w:val="26"/>
          <w:szCs w:val="26"/>
          <w:u w:val="single"/>
        </w:rPr>
        <w:t>galalietot</w:t>
      </w:r>
      <w:r w:rsidRPr="008C6D87">
        <w:rPr>
          <w:rFonts w:ascii="Times New Roman" w:hAnsi="Times New Roman" w:eastAsia="Times New Roman"/>
          <w:sz w:val="26"/>
          <w:szCs w:val="26"/>
          <w:u w:val="single"/>
        </w:rPr>
        <w:t>ājs nemaksā nekādu kompensāciju, izņemot par paturēto subsidēto galiekārtu</w:t>
      </w:r>
      <w:r w:rsidRPr="008C6D87">
        <w:rPr>
          <w:rFonts w:ascii="Times New Roman" w:hAnsi="Times New Roman" w:eastAsia="Times New Roman"/>
          <w:sz w:val="26"/>
          <w:szCs w:val="26"/>
        </w:rPr>
        <w:t>.</w:t>
      </w:r>
    </w:p>
    <w:p w:rsidRPr="008C6D87" w:rsidR="004B18E3" w:rsidP="004B18E3" w:rsidRDefault="00551402" w14:paraId="0CDF2E94" w14:textId="77777777">
      <w:pPr>
        <w:pStyle w:val="ListParagraph"/>
        <w:numPr>
          <w:ilvl w:val="0"/>
          <w:numId w:val="12"/>
        </w:numPr>
        <w:tabs>
          <w:tab w:val="left" w:pos="7200"/>
        </w:tabs>
        <w:jc w:val="both"/>
        <w:rPr>
          <w:rFonts w:ascii="Times New Roman" w:hAnsi="Times New Roman" w:eastAsia="Times New Roman"/>
          <w:sz w:val="26"/>
          <w:szCs w:val="26"/>
        </w:rPr>
      </w:pPr>
      <w:r w:rsidRPr="008C6D87">
        <w:rPr>
          <w:rFonts w:ascii="Times New Roman" w:hAnsi="Times New Roman" w:eastAsia="Times New Roman"/>
          <w:sz w:val="26"/>
          <w:szCs w:val="26"/>
          <w:u w:val="single"/>
        </w:rPr>
        <w:t>Ja galalietotājs izvēlas paturēt galiekārtu</w:t>
      </w:r>
      <w:r w:rsidRPr="008C6D87">
        <w:rPr>
          <w:rFonts w:ascii="Times New Roman" w:hAnsi="Times New Roman" w:eastAsia="Times New Roman"/>
          <w:sz w:val="26"/>
          <w:szCs w:val="26"/>
        </w:rPr>
        <w:t xml:space="preserve">, kas līguma noslēgšanas brīdī tika piedāvāta komplektā ar līgumu, </w:t>
      </w:r>
      <w:r w:rsidRPr="008C6D87">
        <w:rPr>
          <w:rFonts w:ascii="Times New Roman" w:hAnsi="Times New Roman" w:eastAsia="Times New Roman"/>
          <w:sz w:val="26"/>
          <w:szCs w:val="26"/>
          <w:u w:val="single"/>
        </w:rPr>
        <w:t xml:space="preserve">jebkura kompensācija, kas jāmaksā, nepārsniedz galiekārtas </w:t>
      </w:r>
      <w:proofErr w:type="spellStart"/>
      <w:r w:rsidRPr="008C6D87">
        <w:rPr>
          <w:rFonts w:ascii="Times New Roman" w:hAnsi="Times New Roman" w:eastAsia="Times New Roman"/>
          <w:i/>
          <w:iCs/>
          <w:sz w:val="26"/>
          <w:szCs w:val="26"/>
          <w:u w:val="single"/>
        </w:rPr>
        <w:t>pro</w:t>
      </w:r>
      <w:proofErr w:type="spellEnd"/>
      <w:r w:rsidRPr="008C6D87">
        <w:rPr>
          <w:rFonts w:ascii="Times New Roman" w:hAnsi="Times New Roman" w:eastAsia="Times New Roman"/>
          <w:i/>
          <w:iCs/>
          <w:sz w:val="26"/>
          <w:szCs w:val="26"/>
          <w:u w:val="single"/>
        </w:rPr>
        <w:t xml:space="preserve"> rata </w:t>
      </w:r>
      <w:proofErr w:type="spellStart"/>
      <w:r w:rsidRPr="008C6D87">
        <w:rPr>
          <w:rFonts w:ascii="Times New Roman" w:hAnsi="Times New Roman" w:eastAsia="Times New Roman"/>
          <w:i/>
          <w:iCs/>
          <w:sz w:val="26"/>
          <w:szCs w:val="26"/>
          <w:u w:val="single"/>
        </w:rPr>
        <w:t>te</w:t>
      </w:r>
      <w:r w:rsidRPr="008C6D87">
        <w:rPr>
          <w:rFonts w:ascii="Times New Roman" w:hAnsi="Times New Roman" w:eastAsia="Times New Roman"/>
          <w:i/>
          <w:iCs/>
          <w:sz w:val="26"/>
          <w:szCs w:val="26"/>
          <w:u w:val="single"/>
        </w:rPr>
        <w:t>mporis</w:t>
      </w:r>
      <w:proofErr w:type="spellEnd"/>
      <w:r w:rsidRPr="008C6D87">
        <w:rPr>
          <w:rFonts w:ascii="Times New Roman" w:hAnsi="Times New Roman" w:eastAsia="Times New Roman"/>
          <w:sz w:val="26"/>
          <w:szCs w:val="26"/>
          <w:u w:val="single"/>
        </w:rPr>
        <w:t xml:space="preserve"> vērtību, par ko panākta vienošanās līguma noslēgšanas brīdī, vai atlikušo pakalpojuma maksas daļu līdz līguma darbības beigām – atkarībā no tā, kura summa ir mazāka</w:t>
      </w:r>
      <w:r w:rsidRPr="008C6D87">
        <w:rPr>
          <w:rFonts w:ascii="Times New Roman" w:hAnsi="Times New Roman" w:eastAsia="Times New Roman"/>
          <w:sz w:val="26"/>
          <w:szCs w:val="26"/>
        </w:rPr>
        <w:t>.</w:t>
      </w:r>
    </w:p>
    <w:p w:rsidRPr="008C6D87" w:rsidR="004B18E3" w:rsidP="004B18E3" w:rsidRDefault="00551402" w14:paraId="0CDF2E95" w14:textId="77777777">
      <w:pPr>
        <w:widowControl/>
        <w:tabs>
          <w:tab w:val="left" w:pos="720"/>
          <w:tab w:val="left" w:pos="7200"/>
        </w:tabs>
        <w:spacing w:after="0" w:line="240" w:lineRule="auto"/>
        <w:jc w:val="both"/>
        <w:rPr>
          <w:rFonts w:ascii="Times New Roman" w:hAnsi="Times New Roman" w:eastAsia="Times New Roman"/>
          <w:sz w:val="26"/>
          <w:szCs w:val="26"/>
          <w:lang w:val="lv-LV"/>
        </w:rPr>
      </w:pPr>
      <w:r w:rsidRPr="008C6D87">
        <w:rPr>
          <w:rFonts w:ascii="Times New Roman" w:hAnsi="Times New Roman" w:eastAsia="Times New Roman"/>
          <w:sz w:val="26"/>
          <w:szCs w:val="26"/>
          <w:lang w:val="lv-LV"/>
        </w:rPr>
        <w:tab/>
        <w:t xml:space="preserve">Pārņemot </w:t>
      </w:r>
      <w:r w:rsidRPr="008C6D87">
        <w:rPr>
          <w:rFonts w:ascii="Times New Roman" w:hAnsi="Times New Roman" w:eastAsia="Times New Roman"/>
          <w:i/>
          <w:iCs/>
          <w:sz w:val="26"/>
          <w:szCs w:val="26"/>
          <w:lang w:val="lv-LV"/>
        </w:rPr>
        <w:t>Direktīvas</w:t>
      </w:r>
      <w:r w:rsidRPr="008C6D87">
        <w:rPr>
          <w:rFonts w:ascii="Times New Roman" w:hAnsi="Times New Roman" w:eastAsia="Times New Roman"/>
          <w:sz w:val="26"/>
          <w:szCs w:val="26"/>
          <w:lang w:val="lv-LV"/>
        </w:rPr>
        <w:t xml:space="preserve"> prasības,</w:t>
      </w:r>
      <w:r w:rsidRPr="008C6D87">
        <w:rPr>
          <w:rFonts w:ascii="Times New Roman" w:hAnsi="Times New Roman" w:eastAsia="Times New Roman"/>
          <w:i/>
          <w:iCs/>
          <w:sz w:val="26"/>
          <w:szCs w:val="26"/>
          <w:lang w:val="lv-LV"/>
        </w:rPr>
        <w:t xml:space="preserve"> Likumprojekta</w:t>
      </w:r>
      <w:r w:rsidRPr="008C6D87">
        <w:rPr>
          <w:rFonts w:ascii="Times New Roman" w:hAnsi="Times New Roman" w:eastAsia="Times New Roman"/>
          <w:sz w:val="26"/>
          <w:szCs w:val="26"/>
          <w:lang w:val="lv-LV"/>
        </w:rPr>
        <w:t xml:space="preserve"> 35.pantā ir iekļaut noteikumi par līgu</w:t>
      </w:r>
      <w:r w:rsidRPr="008C6D87">
        <w:rPr>
          <w:rFonts w:ascii="Times New Roman" w:hAnsi="Times New Roman" w:eastAsia="Times New Roman"/>
          <w:sz w:val="26"/>
          <w:szCs w:val="26"/>
          <w:lang w:val="lv-LV"/>
        </w:rPr>
        <w:t>msodu līguma pirmstermiņa izbeigšanas gadījumā. Tai skaitā Likumprojekta 35.panta astotās daļas redakcija nosaka:</w:t>
      </w:r>
    </w:p>
    <w:p w:rsidRPr="008C6D87" w:rsidR="004B18E3" w:rsidP="004B18E3" w:rsidRDefault="00551402" w14:paraId="0CDF2E96" w14:textId="77777777">
      <w:pPr>
        <w:pStyle w:val="ListParagraph"/>
        <w:numPr>
          <w:ilvl w:val="0"/>
          <w:numId w:val="12"/>
        </w:numPr>
        <w:tabs>
          <w:tab w:val="left" w:pos="720"/>
          <w:tab w:val="left" w:pos="7200"/>
        </w:tabs>
        <w:jc w:val="both"/>
        <w:rPr>
          <w:rStyle w:val="eop"/>
          <w:rFonts w:ascii="Times New Roman" w:hAnsi="Times New Roman" w:cs="Times New Roman"/>
          <w:sz w:val="26"/>
          <w:szCs w:val="26"/>
        </w:rPr>
      </w:pPr>
      <w:r w:rsidRPr="008C6D87">
        <w:rPr>
          <w:rStyle w:val="eop"/>
          <w:rFonts w:ascii="Times New Roman" w:hAnsi="Times New Roman" w:cs="Times New Roman"/>
          <w:sz w:val="26"/>
          <w:szCs w:val="26"/>
        </w:rPr>
        <w:t xml:space="preserve">Elektronisko sakaru komersants par terminēta līguma pirmstermiņa izbeigšanu piemēro līgumsodu par atlikušo pakalpojuma sniegšanas laiku un nosaka to proporcionāli sadalot par katru pilnu mēnesi, </w:t>
      </w:r>
      <w:r w:rsidRPr="008C6D87">
        <w:rPr>
          <w:rFonts w:ascii="Times New Roman" w:hAnsi="Times New Roman" w:cs="Times New Roman"/>
          <w:sz w:val="26"/>
          <w:szCs w:val="26"/>
        </w:rPr>
        <w:t xml:space="preserve">ietverot periodu no datuma, kad terminēts līgums ir izbeigts </w:t>
      </w:r>
      <w:r w:rsidRPr="008C6D87">
        <w:rPr>
          <w:rFonts w:ascii="Times New Roman" w:hAnsi="Times New Roman" w:cs="Times New Roman"/>
          <w:sz w:val="26"/>
          <w:szCs w:val="26"/>
        </w:rPr>
        <w:t>līdz attiecīga mēneša beigām</w:t>
      </w:r>
      <w:r w:rsidRPr="008C6D87">
        <w:rPr>
          <w:rStyle w:val="eop"/>
          <w:rFonts w:ascii="Times New Roman" w:hAnsi="Times New Roman" w:cs="Times New Roman"/>
          <w:sz w:val="26"/>
          <w:szCs w:val="26"/>
        </w:rPr>
        <w:t>.</w:t>
      </w:r>
    </w:p>
    <w:p w:rsidRPr="008C6D87" w:rsidR="004B18E3" w:rsidP="004B18E3" w:rsidRDefault="00551402" w14:paraId="0CDF2E97" w14:textId="77777777">
      <w:pPr>
        <w:widowControl/>
        <w:tabs>
          <w:tab w:val="left" w:pos="720"/>
          <w:tab w:val="left" w:pos="7200"/>
        </w:tabs>
        <w:spacing w:after="0" w:line="240" w:lineRule="auto"/>
        <w:jc w:val="both"/>
        <w:rPr>
          <w:rStyle w:val="eop"/>
          <w:rFonts w:ascii="Times New Roman" w:hAnsi="Times New Roman"/>
          <w:sz w:val="26"/>
          <w:szCs w:val="26"/>
          <w:lang w:val="lv-LV"/>
        </w:rPr>
      </w:pPr>
      <w:r w:rsidRPr="008C6D87">
        <w:rPr>
          <w:rStyle w:val="eop"/>
          <w:rFonts w:ascii="Times New Roman" w:hAnsi="Times New Roman"/>
          <w:sz w:val="26"/>
          <w:szCs w:val="26"/>
          <w:lang w:val="lv-LV"/>
        </w:rPr>
        <w:tab/>
        <w:t>Savukārt Likumprojekta 35.panta devītās daļas redakcija paredz:</w:t>
      </w:r>
    </w:p>
    <w:p w:rsidRPr="008C6D87" w:rsidR="004B18E3" w:rsidP="004B18E3" w:rsidRDefault="00551402" w14:paraId="0CDF2E98" w14:textId="77777777">
      <w:pPr>
        <w:pStyle w:val="ListParagraph"/>
        <w:numPr>
          <w:ilvl w:val="0"/>
          <w:numId w:val="12"/>
        </w:numPr>
        <w:tabs>
          <w:tab w:val="left" w:pos="720"/>
          <w:tab w:val="left" w:pos="7200"/>
        </w:tabs>
        <w:jc w:val="both"/>
        <w:rPr>
          <w:rStyle w:val="eop"/>
          <w:rFonts w:ascii="Times New Roman" w:hAnsi="Times New Roman" w:cs="Times New Roman"/>
          <w:sz w:val="26"/>
          <w:szCs w:val="26"/>
        </w:rPr>
      </w:pPr>
      <w:r w:rsidRPr="008C6D87">
        <w:rPr>
          <w:rStyle w:val="eop"/>
          <w:rFonts w:ascii="Times New Roman" w:hAnsi="Times New Roman" w:cs="Times New Roman"/>
          <w:sz w:val="26"/>
          <w:szCs w:val="26"/>
        </w:rPr>
        <w:t>Ja terminēta līguma, kas paredzēja elektronisko sakaru pakalpojuma un to saņemšanai nepieciešamās iekārtas iegādi komplekta veidā, par iekārtu piemērojot atlikto</w:t>
      </w:r>
      <w:r w:rsidRPr="008C6D87">
        <w:rPr>
          <w:rStyle w:val="eop"/>
          <w:rFonts w:ascii="Times New Roman" w:hAnsi="Times New Roman" w:cs="Times New Roman"/>
          <w:sz w:val="26"/>
          <w:szCs w:val="26"/>
        </w:rPr>
        <w:t xml:space="preserve"> maksājumu, saistības ir izbeigtas saskaņā ar šī panta piekto, sesto un septīto daļu, elektronisko sakaru komersants piedāvā patērētājam iegūt savā īpašumā elektronisko sakaru pakalpojuma saņemšanai nepieciešamo iekārtu. Patērētājam ir tiesības to saņemt p</w:t>
      </w:r>
      <w:r w:rsidRPr="008C6D87">
        <w:rPr>
          <w:rStyle w:val="eop"/>
          <w:rFonts w:ascii="Times New Roman" w:hAnsi="Times New Roman" w:cs="Times New Roman"/>
          <w:sz w:val="26"/>
          <w:szCs w:val="26"/>
        </w:rPr>
        <w:t>ar maksu, kas nepārsniedz galiekārtas vērtību proporcionāli laikam, par ko vienošanās panākta līguma slēgšanas brīdī vai atlikušo pakalpojuma maksas daļu līdz līguma darbības beigām – atkarībā no tā, kura summa ir mazāka.</w:t>
      </w:r>
    </w:p>
    <w:p w:rsidRPr="008C6D87" w:rsidR="004B18E3" w:rsidP="004B18E3" w:rsidRDefault="00551402" w14:paraId="0CDF2E99" w14:textId="77777777">
      <w:pPr>
        <w:tabs>
          <w:tab w:val="left" w:pos="720"/>
          <w:tab w:val="left" w:pos="7200"/>
        </w:tabs>
        <w:spacing w:after="0" w:line="240" w:lineRule="auto"/>
        <w:jc w:val="both"/>
        <w:rPr>
          <w:rFonts w:ascii="Times New Roman" w:hAnsi="Times New Roman" w:eastAsia="Times New Roman"/>
          <w:sz w:val="26"/>
          <w:szCs w:val="26"/>
          <w:lang w:val="lv-LV"/>
        </w:rPr>
      </w:pPr>
      <w:r w:rsidRPr="008C6D87">
        <w:rPr>
          <w:rStyle w:val="eop"/>
          <w:rFonts w:ascii="Times New Roman" w:hAnsi="Times New Roman"/>
          <w:b/>
          <w:bCs/>
          <w:sz w:val="26"/>
          <w:szCs w:val="26"/>
          <w:lang w:val="lv-LV"/>
        </w:rPr>
        <w:tab/>
      </w:r>
      <w:r w:rsidRPr="008C6D87">
        <w:rPr>
          <w:rStyle w:val="eop"/>
          <w:rFonts w:ascii="Times New Roman" w:hAnsi="Times New Roman"/>
          <w:sz w:val="26"/>
          <w:szCs w:val="26"/>
          <w:lang w:val="lv-LV"/>
        </w:rPr>
        <w:t xml:space="preserve">[2] Ņemot vērā augšminēto, </w:t>
      </w:r>
      <w:r w:rsidRPr="008C6D87">
        <w:rPr>
          <w:rStyle w:val="eop"/>
          <w:rFonts w:ascii="Times New Roman" w:hAnsi="Times New Roman"/>
          <w:i/>
          <w:iCs/>
          <w:sz w:val="26"/>
          <w:szCs w:val="26"/>
          <w:lang w:val="lv-LV"/>
        </w:rPr>
        <w:t>PTAC</w:t>
      </w:r>
      <w:r w:rsidRPr="008C6D87">
        <w:rPr>
          <w:rStyle w:val="eop"/>
          <w:rFonts w:ascii="Times New Roman" w:hAnsi="Times New Roman"/>
          <w:sz w:val="26"/>
          <w:szCs w:val="26"/>
          <w:lang w:val="lv-LV"/>
        </w:rPr>
        <w:t xml:space="preserve"> vērš uzmanību uz to, ka </w:t>
      </w:r>
      <w:r w:rsidRPr="008C6D87">
        <w:rPr>
          <w:rStyle w:val="eop"/>
          <w:rFonts w:ascii="Times New Roman" w:hAnsi="Times New Roman"/>
          <w:i/>
          <w:iCs/>
          <w:sz w:val="26"/>
          <w:szCs w:val="26"/>
          <w:lang w:val="lv-LV"/>
        </w:rPr>
        <w:t xml:space="preserve">Likumprojektā </w:t>
      </w:r>
      <w:r w:rsidRPr="008C6D87">
        <w:rPr>
          <w:rStyle w:val="eop"/>
          <w:rFonts w:ascii="Times New Roman" w:hAnsi="Times New Roman"/>
          <w:sz w:val="26"/>
          <w:szCs w:val="26"/>
          <w:lang w:val="lv-LV"/>
        </w:rPr>
        <w:t xml:space="preserve">iekļautais regulējums par terminētu līgumu izbeigšanas gadījumā piemērojamo līgumsodu, iespējams, neatbilst </w:t>
      </w:r>
      <w:r w:rsidRPr="008C6D87">
        <w:rPr>
          <w:rStyle w:val="eop"/>
          <w:rFonts w:ascii="Times New Roman" w:hAnsi="Times New Roman"/>
          <w:i/>
          <w:iCs/>
          <w:sz w:val="26"/>
          <w:szCs w:val="26"/>
          <w:lang w:val="lv-LV"/>
        </w:rPr>
        <w:t>Direktīvas</w:t>
      </w:r>
      <w:r w:rsidRPr="008C6D87">
        <w:rPr>
          <w:rStyle w:val="eop"/>
          <w:rFonts w:ascii="Times New Roman" w:hAnsi="Times New Roman"/>
          <w:sz w:val="26"/>
          <w:szCs w:val="26"/>
          <w:lang w:val="lv-LV"/>
        </w:rPr>
        <w:t xml:space="preserve"> noteikumiem.  Proti, </w:t>
      </w:r>
      <w:r w:rsidRPr="008C6D87">
        <w:rPr>
          <w:rStyle w:val="eop"/>
          <w:rFonts w:ascii="Times New Roman" w:hAnsi="Times New Roman"/>
          <w:i/>
          <w:iCs/>
          <w:sz w:val="26"/>
          <w:szCs w:val="26"/>
          <w:lang w:val="lv-LV"/>
        </w:rPr>
        <w:t>Direktīvā</w:t>
      </w:r>
      <w:r w:rsidRPr="008C6D87">
        <w:rPr>
          <w:rStyle w:val="eop"/>
          <w:rFonts w:ascii="Times New Roman" w:hAnsi="Times New Roman"/>
          <w:sz w:val="26"/>
          <w:szCs w:val="26"/>
          <w:lang w:val="lv-LV"/>
        </w:rPr>
        <w:t xml:space="preserve"> nav iekļautas tiesību normas, kuras </w:t>
      </w:r>
      <w:r w:rsidRPr="008C6D87">
        <w:rPr>
          <w:rStyle w:val="eop"/>
          <w:rFonts w:ascii="Times New Roman" w:hAnsi="Times New Roman"/>
          <w:sz w:val="26"/>
          <w:szCs w:val="26"/>
          <w:lang w:val="lv-LV"/>
        </w:rPr>
        <w:t xml:space="preserve">pieļautu un reglamentētu terminētu līgumu pirmstermiņa izbeigšanas līgumsoda piemērošanu. </w:t>
      </w:r>
      <w:r w:rsidRPr="008C6D87">
        <w:rPr>
          <w:rFonts w:ascii="Times New Roman" w:hAnsi="Times New Roman" w:eastAsia="Times New Roman"/>
          <w:i/>
          <w:iCs/>
          <w:sz w:val="26"/>
          <w:szCs w:val="26"/>
          <w:lang w:val="lv-LV"/>
        </w:rPr>
        <w:t>Direktīvas</w:t>
      </w:r>
      <w:r w:rsidRPr="008C6D87">
        <w:rPr>
          <w:rFonts w:ascii="Times New Roman" w:hAnsi="Times New Roman" w:eastAsia="Times New Roman"/>
          <w:sz w:val="26"/>
          <w:szCs w:val="26"/>
          <w:lang w:val="lv-LV"/>
        </w:rPr>
        <w:t xml:space="preserve"> 105.panta 6.punktā ir noteikts galalietotājus aizsargājošs ierobežojums, proti, galalietotāja tiesības nemaksāt nekādu kompensāciju par līguma pirmstermiņa</w:t>
      </w:r>
      <w:r w:rsidRPr="008C6D87">
        <w:rPr>
          <w:rFonts w:ascii="Times New Roman" w:hAnsi="Times New Roman" w:eastAsia="Times New Roman"/>
          <w:sz w:val="26"/>
          <w:szCs w:val="26"/>
          <w:lang w:val="lv-LV"/>
        </w:rPr>
        <w:t xml:space="preserve"> izbeigšanu, ja terminēta līguma izbeigšanas tiesības ir paredzētas Savienības vai Latvijas tiesību aktos. Vienīgā kompensācija atbilstoši </w:t>
      </w:r>
      <w:r w:rsidRPr="008C6D87">
        <w:rPr>
          <w:rFonts w:ascii="Times New Roman" w:hAnsi="Times New Roman" w:eastAsia="Times New Roman"/>
          <w:i/>
          <w:iCs/>
          <w:sz w:val="26"/>
          <w:szCs w:val="26"/>
          <w:lang w:val="lv-LV"/>
        </w:rPr>
        <w:t>Direktīvas</w:t>
      </w:r>
      <w:r w:rsidRPr="008C6D87">
        <w:rPr>
          <w:rFonts w:ascii="Times New Roman" w:hAnsi="Times New Roman" w:eastAsia="Times New Roman"/>
          <w:sz w:val="26"/>
          <w:szCs w:val="26"/>
          <w:lang w:val="lv-LV"/>
        </w:rPr>
        <w:t xml:space="preserve"> 105.panta 6.punktam, kas var tikt pieprasīta no galalietotāja līguma </w:t>
      </w:r>
      <w:r w:rsidRPr="008C6D87">
        <w:rPr>
          <w:rFonts w:ascii="Times New Roman" w:hAnsi="Times New Roman" w:eastAsia="Times New Roman"/>
          <w:sz w:val="26"/>
          <w:szCs w:val="26"/>
          <w:lang w:val="lv-LV"/>
        </w:rPr>
        <w:lastRenderedPageBreak/>
        <w:t xml:space="preserve">pirmstermiņa izbeigšanas gadījumā un </w:t>
      </w:r>
      <w:r w:rsidRPr="008C6D87">
        <w:rPr>
          <w:rFonts w:ascii="Times New Roman" w:hAnsi="Times New Roman" w:eastAsia="Times New Roman"/>
          <w:sz w:val="26"/>
          <w:szCs w:val="26"/>
          <w:lang w:val="lv-LV"/>
        </w:rPr>
        <w:t xml:space="preserve">tikai situācijā, kad galalietotājs pats ir izvēlējies paturēt galiekārtu, ir kompensācija par subsidēto galiekārtu. Ņemot  vērā  minēto, </w:t>
      </w:r>
      <w:r w:rsidRPr="008C6D87">
        <w:rPr>
          <w:rFonts w:ascii="Times New Roman" w:hAnsi="Times New Roman" w:eastAsia="Times New Roman"/>
          <w:i/>
          <w:iCs/>
          <w:sz w:val="26"/>
          <w:szCs w:val="26"/>
          <w:lang w:val="lv-LV"/>
        </w:rPr>
        <w:t>PTAC</w:t>
      </w:r>
      <w:r w:rsidRPr="008C6D87">
        <w:rPr>
          <w:rFonts w:ascii="Times New Roman" w:hAnsi="Times New Roman" w:eastAsia="Times New Roman"/>
          <w:sz w:val="26"/>
          <w:szCs w:val="26"/>
          <w:lang w:val="lv-LV"/>
        </w:rPr>
        <w:t xml:space="preserve"> ierosina pārskatīt </w:t>
      </w:r>
      <w:r w:rsidRPr="008C6D87">
        <w:rPr>
          <w:rFonts w:ascii="Times New Roman" w:hAnsi="Times New Roman" w:eastAsia="Times New Roman"/>
          <w:i/>
          <w:iCs/>
          <w:sz w:val="26"/>
          <w:szCs w:val="26"/>
          <w:lang w:val="lv-LV"/>
        </w:rPr>
        <w:t>Likumprojekta</w:t>
      </w:r>
      <w:r w:rsidRPr="008C6D87">
        <w:rPr>
          <w:rFonts w:ascii="Times New Roman" w:hAnsi="Times New Roman" w:eastAsia="Times New Roman"/>
          <w:sz w:val="26"/>
          <w:szCs w:val="26"/>
          <w:lang w:val="lv-LV"/>
        </w:rPr>
        <w:t xml:space="preserve"> redakcijā izmantoto līgumsoda jēdzienu, kas attiecināms uz terminētu elektronisko</w:t>
      </w:r>
      <w:r w:rsidRPr="008C6D87">
        <w:rPr>
          <w:rFonts w:ascii="Times New Roman" w:hAnsi="Times New Roman" w:eastAsia="Times New Roman"/>
          <w:sz w:val="26"/>
          <w:szCs w:val="26"/>
          <w:lang w:val="lv-LV"/>
        </w:rPr>
        <w:t xml:space="preserve"> sakaru līgumu izbeigšanu atbilstoši </w:t>
      </w:r>
      <w:r w:rsidRPr="008C6D87">
        <w:rPr>
          <w:rFonts w:ascii="Times New Roman" w:hAnsi="Times New Roman" w:eastAsia="Times New Roman"/>
          <w:i/>
          <w:iCs/>
          <w:sz w:val="26"/>
          <w:szCs w:val="26"/>
          <w:lang w:val="lv-LV"/>
        </w:rPr>
        <w:t>Direktīvas</w:t>
      </w:r>
      <w:r w:rsidRPr="008C6D87">
        <w:rPr>
          <w:rFonts w:ascii="Times New Roman" w:hAnsi="Times New Roman" w:eastAsia="Times New Roman"/>
          <w:sz w:val="26"/>
          <w:szCs w:val="26"/>
          <w:lang w:val="lv-LV"/>
        </w:rPr>
        <w:t xml:space="preserve"> prasībām, nepieciešamības gadījumā papildinot </w:t>
      </w:r>
      <w:r w:rsidRPr="008C6D87">
        <w:rPr>
          <w:rFonts w:ascii="Times New Roman" w:hAnsi="Times New Roman" w:eastAsia="Times New Roman"/>
          <w:i/>
          <w:iCs/>
          <w:sz w:val="26"/>
          <w:szCs w:val="26"/>
          <w:lang w:val="lv-LV"/>
        </w:rPr>
        <w:t xml:space="preserve">Likumprojekta </w:t>
      </w:r>
      <w:r w:rsidRPr="008C6D87">
        <w:rPr>
          <w:rFonts w:ascii="Times New Roman" w:hAnsi="Times New Roman" w:eastAsia="Times New Roman"/>
          <w:sz w:val="26"/>
          <w:szCs w:val="26"/>
          <w:lang w:val="lv-LV"/>
        </w:rPr>
        <w:t xml:space="preserve">1.panta pirmo daļu ar līgumsoda, kurš piemērojams par terminēta līguma pirmstermiņa izbeigšanu definīciju vai sniedzot skaidrojumu </w:t>
      </w:r>
      <w:r w:rsidRPr="008C6D87">
        <w:rPr>
          <w:rFonts w:ascii="Times New Roman" w:hAnsi="Times New Roman" w:eastAsia="Times New Roman"/>
          <w:i/>
          <w:iCs/>
          <w:sz w:val="26"/>
          <w:szCs w:val="26"/>
          <w:lang w:val="lv-LV"/>
        </w:rPr>
        <w:t>Likumprojekta</w:t>
      </w:r>
      <w:r w:rsidRPr="008C6D87">
        <w:rPr>
          <w:rFonts w:ascii="Times New Roman" w:hAnsi="Times New Roman" w:eastAsia="Times New Roman"/>
          <w:sz w:val="26"/>
          <w:szCs w:val="26"/>
          <w:lang w:val="lv-LV"/>
        </w:rPr>
        <w:t xml:space="preserve"> anotācijā.</w:t>
      </w:r>
    </w:p>
    <w:p w:rsidRPr="008C6D87" w:rsidR="004B18E3" w:rsidP="004B18E3" w:rsidRDefault="00551402" w14:paraId="0CDF2E9A" w14:textId="77777777">
      <w:pPr>
        <w:pStyle w:val="paragraph"/>
        <w:spacing w:before="0" w:beforeAutospacing="0" w:after="0" w:afterAutospacing="0"/>
        <w:jc w:val="both"/>
        <w:textAlignment w:val="baseline"/>
        <w:rPr>
          <w:i/>
          <w:iCs/>
          <w:sz w:val="26"/>
          <w:szCs w:val="26"/>
        </w:rPr>
      </w:pPr>
      <w:r w:rsidRPr="008C6D87">
        <w:rPr>
          <w:sz w:val="26"/>
          <w:szCs w:val="26"/>
        </w:rPr>
        <w:tab/>
        <w:t xml:space="preserve">[3] Papildus minētajam </w:t>
      </w:r>
      <w:r w:rsidRPr="008C6D87">
        <w:rPr>
          <w:i/>
          <w:iCs/>
          <w:sz w:val="26"/>
          <w:szCs w:val="26"/>
        </w:rPr>
        <w:t xml:space="preserve">PTAC </w:t>
      </w:r>
      <w:r w:rsidRPr="008C6D87">
        <w:rPr>
          <w:sz w:val="26"/>
          <w:szCs w:val="26"/>
        </w:rPr>
        <w:t xml:space="preserve">ir konstatējis ka </w:t>
      </w:r>
      <w:r w:rsidRPr="008C6D87">
        <w:rPr>
          <w:i/>
          <w:iCs/>
          <w:sz w:val="26"/>
          <w:szCs w:val="26"/>
        </w:rPr>
        <w:t>Likumprojekta</w:t>
      </w:r>
      <w:r w:rsidRPr="008C6D87">
        <w:rPr>
          <w:sz w:val="26"/>
          <w:szCs w:val="26"/>
        </w:rPr>
        <w:t xml:space="preserve"> 35.panta devītās daļas redakcijā ir iekļauts regulējums tādam terminētam līgumam, kura ietvaros ir paredzēta </w:t>
      </w:r>
      <w:r w:rsidRPr="008C6D87">
        <w:rPr>
          <w:i/>
          <w:iCs/>
          <w:sz w:val="26"/>
          <w:szCs w:val="26"/>
        </w:rPr>
        <w:t>elektronisko sakaru pakalpojuma un to saņemšanai nepieciešamā</w:t>
      </w:r>
      <w:r w:rsidRPr="008C6D87">
        <w:rPr>
          <w:i/>
          <w:iCs/>
          <w:sz w:val="26"/>
          <w:szCs w:val="26"/>
        </w:rPr>
        <w:t>s iekārtas iegāde komplekta veidā, par iekārtu piemērojot atlikto maksājumu</w:t>
      </w:r>
      <w:r w:rsidRPr="008C6D87">
        <w:rPr>
          <w:sz w:val="26"/>
          <w:szCs w:val="26"/>
        </w:rPr>
        <w:t>.</w:t>
      </w:r>
      <w:r w:rsidRPr="008C6D87">
        <w:rPr>
          <w:i/>
          <w:iCs/>
          <w:sz w:val="26"/>
          <w:szCs w:val="26"/>
        </w:rPr>
        <w:t xml:space="preserve"> PTAC</w:t>
      </w:r>
      <w:r w:rsidRPr="008C6D87">
        <w:rPr>
          <w:sz w:val="26"/>
          <w:szCs w:val="26"/>
        </w:rPr>
        <w:t xml:space="preserve"> ieskatā </w:t>
      </w:r>
      <w:r w:rsidRPr="008C6D87">
        <w:rPr>
          <w:i/>
          <w:iCs/>
          <w:sz w:val="26"/>
          <w:szCs w:val="26"/>
        </w:rPr>
        <w:t>Likumprojekta</w:t>
      </w:r>
      <w:r w:rsidRPr="008C6D87">
        <w:rPr>
          <w:sz w:val="26"/>
          <w:szCs w:val="26"/>
        </w:rPr>
        <w:t xml:space="preserve"> norma ir paredzēta, lai pārņemtu </w:t>
      </w:r>
      <w:r w:rsidRPr="008C6D87">
        <w:rPr>
          <w:i/>
          <w:iCs/>
          <w:sz w:val="26"/>
          <w:szCs w:val="26"/>
        </w:rPr>
        <w:t>Direktīvas</w:t>
      </w:r>
      <w:r w:rsidRPr="008C6D87">
        <w:rPr>
          <w:sz w:val="26"/>
          <w:szCs w:val="26"/>
        </w:rPr>
        <w:t xml:space="preserve"> 105.panta 6.punkta noteikumus, kur terminēta līguma pirmstermiņa izbeigšanas gadījumā ir iespējams noteikt k</w:t>
      </w:r>
      <w:r w:rsidRPr="008C6D87">
        <w:rPr>
          <w:sz w:val="26"/>
          <w:szCs w:val="26"/>
        </w:rPr>
        <w:t xml:space="preserve">ompensāciju </w:t>
      </w:r>
      <w:r w:rsidRPr="008C6D87">
        <w:rPr>
          <w:i/>
          <w:iCs/>
          <w:sz w:val="26"/>
          <w:szCs w:val="26"/>
        </w:rPr>
        <w:t xml:space="preserve">par galalietotāja paturēto subsidēto galiekārtu, kas līguma noslēgšanas brīdī tika piedāvāta komplektā ar līgumu. </w:t>
      </w:r>
    </w:p>
    <w:p w:rsidRPr="008C6D87" w:rsidR="004B18E3" w:rsidP="004B18E3" w:rsidRDefault="00551402" w14:paraId="0CDF2E9B" w14:textId="77777777">
      <w:pPr>
        <w:pStyle w:val="paragraph"/>
        <w:spacing w:before="0" w:beforeAutospacing="0" w:after="0" w:afterAutospacing="0"/>
        <w:jc w:val="both"/>
        <w:textAlignment w:val="baseline"/>
        <w:rPr>
          <w:sz w:val="26"/>
          <w:szCs w:val="26"/>
        </w:rPr>
      </w:pPr>
      <w:r w:rsidRPr="008C6D87">
        <w:rPr>
          <w:i/>
          <w:iCs/>
          <w:sz w:val="26"/>
          <w:szCs w:val="26"/>
        </w:rPr>
        <w:tab/>
        <w:t>PTAC</w:t>
      </w:r>
      <w:r w:rsidRPr="008C6D87">
        <w:rPr>
          <w:sz w:val="26"/>
          <w:szCs w:val="26"/>
        </w:rPr>
        <w:t xml:space="preserve"> uzskata, ka Likumprojekta 35.panta devītā daļa neatbilst Direktīvas 105.panta 6.punktam, jo, pirmkārt, </w:t>
      </w:r>
      <w:r w:rsidRPr="008C6D87">
        <w:rPr>
          <w:i/>
          <w:iCs/>
          <w:sz w:val="26"/>
          <w:szCs w:val="26"/>
        </w:rPr>
        <w:t xml:space="preserve">Direktīvas </w:t>
      </w:r>
      <w:r w:rsidRPr="008C6D87">
        <w:rPr>
          <w:sz w:val="26"/>
          <w:szCs w:val="26"/>
        </w:rPr>
        <w:t>noteikumi</w:t>
      </w:r>
      <w:r w:rsidRPr="008C6D87">
        <w:rPr>
          <w:sz w:val="26"/>
          <w:szCs w:val="26"/>
        </w:rPr>
        <w:t xml:space="preserve"> nav attiecināmi uz jebkuru iekārtu, kas paredzēta elektronisko sakaru pakalpojumu saņemšanai, bet gan uz iekārtu, kura atbilst galiekārtas definīcijai un kura piedāvāta kopā ar konkrēto elektronisko sakaru līgumu. Otrkārt, </w:t>
      </w:r>
      <w:r w:rsidRPr="008C6D87">
        <w:rPr>
          <w:i/>
          <w:iCs/>
          <w:sz w:val="26"/>
          <w:szCs w:val="26"/>
        </w:rPr>
        <w:t>Likumprojekta</w:t>
      </w:r>
      <w:r w:rsidRPr="008C6D87">
        <w:rPr>
          <w:sz w:val="26"/>
          <w:szCs w:val="26"/>
        </w:rPr>
        <w:t xml:space="preserve"> 35.panta devītajā </w:t>
      </w:r>
      <w:r w:rsidRPr="008C6D87">
        <w:rPr>
          <w:sz w:val="26"/>
          <w:szCs w:val="26"/>
        </w:rPr>
        <w:t xml:space="preserve">daļā iekļautā iekārtas pazīme, proti, tās </w:t>
      </w:r>
      <w:r w:rsidRPr="008C6D87">
        <w:rPr>
          <w:i/>
          <w:iCs/>
          <w:sz w:val="26"/>
          <w:szCs w:val="26"/>
        </w:rPr>
        <w:t>iegāde, piemērojot atlikto maksājumu,</w:t>
      </w:r>
      <w:r w:rsidRPr="008C6D87">
        <w:rPr>
          <w:sz w:val="26"/>
          <w:szCs w:val="26"/>
        </w:rPr>
        <w:t xml:space="preserve"> satura ziņā neatbilst Direktīvas 105.panta 6.punktā norādītajai </w:t>
      </w:r>
      <w:r w:rsidRPr="008C6D87">
        <w:rPr>
          <w:i/>
          <w:iCs/>
          <w:sz w:val="26"/>
          <w:szCs w:val="26"/>
        </w:rPr>
        <w:t>subsidētajai galiekārtai</w:t>
      </w:r>
      <w:r w:rsidRPr="008C6D87">
        <w:rPr>
          <w:sz w:val="26"/>
          <w:szCs w:val="26"/>
        </w:rPr>
        <w:t xml:space="preserve">. Proti, </w:t>
      </w:r>
      <w:r w:rsidRPr="008C6D87">
        <w:rPr>
          <w:i/>
          <w:iCs/>
          <w:sz w:val="26"/>
          <w:szCs w:val="26"/>
        </w:rPr>
        <w:t xml:space="preserve">Likumprojektā </w:t>
      </w:r>
      <w:r w:rsidRPr="008C6D87">
        <w:rPr>
          <w:sz w:val="26"/>
          <w:szCs w:val="26"/>
        </w:rPr>
        <w:t xml:space="preserve">paredzētā redakcija norāda uz vienu no iekārtas iegādes apmaksas </w:t>
      </w:r>
      <w:r w:rsidRPr="008C6D87">
        <w:rPr>
          <w:sz w:val="26"/>
          <w:szCs w:val="26"/>
        </w:rPr>
        <w:t xml:space="preserve">veidiem, nevis uz apstākļiem, kas raksturo galiekārtas subsidēšanu, piemēram, iekārtas pārdošanu par ievērojami zemāku cenu, izsniegšanu bezmaksas lietošanai vai tml. </w:t>
      </w:r>
    </w:p>
    <w:p w:rsidRPr="008C6D87" w:rsidR="004B18E3" w:rsidP="004B18E3" w:rsidRDefault="00551402" w14:paraId="0CDF2E9C" w14:textId="77777777">
      <w:pPr>
        <w:pStyle w:val="paragraph"/>
        <w:spacing w:before="0" w:beforeAutospacing="0" w:after="0" w:afterAutospacing="0"/>
        <w:ind w:firstLine="720"/>
        <w:jc w:val="both"/>
        <w:textAlignment w:val="baseline"/>
      </w:pPr>
      <w:r w:rsidRPr="008C6D87">
        <w:rPr>
          <w:sz w:val="26"/>
          <w:szCs w:val="26"/>
        </w:rPr>
        <w:t xml:space="preserve">Ņemot  vērā minēto, </w:t>
      </w:r>
      <w:r w:rsidRPr="008C6D87">
        <w:rPr>
          <w:i/>
          <w:iCs/>
          <w:sz w:val="26"/>
          <w:szCs w:val="26"/>
        </w:rPr>
        <w:t>PTAC</w:t>
      </w:r>
      <w:r w:rsidRPr="008C6D87">
        <w:rPr>
          <w:sz w:val="26"/>
          <w:szCs w:val="26"/>
        </w:rPr>
        <w:t xml:space="preserve"> ierosina grozīt Likumprojekta 35.panta devīto daļu, nosakot to </w:t>
      </w:r>
      <w:r w:rsidRPr="008C6D87">
        <w:rPr>
          <w:sz w:val="26"/>
          <w:szCs w:val="26"/>
        </w:rPr>
        <w:t xml:space="preserve">redakcijā, kas atbilst Direktīvas 105.panta 6.punktam: </w:t>
      </w:r>
      <w:r w:rsidRPr="008C6D87">
        <w:rPr>
          <w:i/>
          <w:iCs/>
          <w:sz w:val="26"/>
          <w:szCs w:val="26"/>
        </w:rPr>
        <w:t xml:space="preserve">„Galalietotājam ir tiesības pirms līguma termiņa beigām izbeigt līgumu par publiski pieejamu elektronisko sakaru pakalpojumu, kas nav </w:t>
      </w:r>
      <w:proofErr w:type="spellStart"/>
      <w:r w:rsidRPr="008C6D87">
        <w:rPr>
          <w:i/>
          <w:iCs/>
          <w:sz w:val="26"/>
          <w:szCs w:val="26"/>
        </w:rPr>
        <w:t>numurneatkarīgi</w:t>
      </w:r>
      <w:proofErr w:type="spellEnd"/>
      <w:r w:rsidRPr="008C6D87">
        <w:rPr>
          <w:i/>
          <w:iCs/>
          <w:sz w:val="26"/>
          <w:szCs w:val="26"/>
        </w:rPr>
        <w:t xml:space="preserve"> </w:t>
      </w:r>
      <w:proofErr w:type="spellStart"/>
      <w:r w:rsidRPr="008C6D87">
        <w:rPr>
          <w:i/>
          <w:iCs/>
          <w:sz w:val="26"/>
          <w:szCs w:val="26"/>
        </w:rPr>
        <w:t>starppersonu</w:t>
      </w:r>
      <w:proofErr w:type="spellEnd"/>
      <w:r w:rsidRPr="008C6D87">
        <w:rPr>
          <w:i/>
          <w:iCs/>
          <w:sz w:val="26"/>
          <w:szCs w:val="26"/>
        </w:rPr>
        <w:t xml:space="preserve"> sakaru pakalpojumi, galalietotājs nema</w:t>
      </w:r>
      <w:r w:rsidRPr="008C6D87">
        <w:rPr>
          <w:i/>
          <w:iCs/>
          <w:sz w:val="26"/>
          <w:szCs w:val="26"/>
        </w:rPr>
        <w:t>ksā nekādu kompensāciju, izņemot par paturēto subsidēto galiekārtu.</w:t>
      </w:r>
    </w:p>
    <w:p w:rsidRPr="008C6D87" w:rsidR="004B18E3" w:rsidP="004B18E3" w:rsidRDefault="00551402" w14:paraId="0CDF2E9D" w14:textId="77777777">
      <w:pPr>
        <w:pStyle w:val="paragraph"/>
        <w:spacing w:before="0" w:beforeAutospacing="0" w:after="0" w:afterAutospacing="0"/>
        <w:ind w:firstLine="720"/>
        <w:jc w:val="both"/>
        <w:textAlignment w:val="baseline"/>
        <w:rPr>
          <w:i/>
          <w:iCs/>
          <w:sz w:val="26"/>
          <w:szCs w:val="26"/>
        </w:rPr>
      </w:pPr>
      <w:r w:rsidRPr="008C6D87">
        <w:rPr>
          <w:i/>
          <w:iCs/>
          <w:sz w:val="26"/>
          <w:szCs w:val="26"/>
        </w:rPr>
        <w:t>Ja galalietotājs izvēlas paturēt galiekārtu, kas līguma noslēgšanas brīdī piedāvāta komplektā ar līgumu, jebkura kompensācija, kas jāmaksā, nepārsniedz summu, kas noteikta proporcionāli lī</w:t>
      </w:r>
      <w:r w:rsidRPr="008C6D87">
        <w:rPr>
          <w:i/>
          <w:iCs/>
          <w:sz w:val="26"/>
          <w:szCs w:val="26"/>
        </w:rPr>
        <w:t>gumā norādītajai galiekārtas vērtībai un tās samazinājumam atbilstoši minimālajam līgum darbības termiņam un līguma darbības laikam vai atlikušo pakalpojuma maksas daļu līdz līguma darbības beigām – atkarībā no tā, kura summa ir mazāka.”</w:t>
      </w:r>
    </w:p>
    <w:p w:rsidRPr="008C6D87" w:rsidR="004B18E3" w:rsidP="004B18E3" w:rsidRDefault="00551402" w14:paraId="0CDF2E9E" w14:textId="77777777">
      <w:pPr>
        <w:pStyle w:val="paragraph"/>
        <w:spacing w:before="0" w:beforeAutospacing="0" w:after="0" w:afterAutospacing="0"/>
        <w:ind w:firstLine="720"/>
        <w:jc w:val="both"/>
        <w:textAlignment w:val="baseline"/>
        <w:rPr>
          <w:sz w:val="26"/>
          <w:szCs w:val="26"/>
        </w:rPr>
      </w:pPr>
      <w:r w:rsidRPr="008C6D87">
        <w:rPr>
          <w:sz w:val="26"/>
          <w:szCs w:val="26"/>
        </w:rPr>
        <w:t xml:space="preserve">[4] Vienlaikus </w:t>
      </w:r>
      <w:r w:rsidRPr="008C6D87">
        <w:rPr>
          <w:i/>
          <w:iCs/>
          <w:sz w:val="26"/>
          <w:szCs w:val="26"/>
        </w:rPr>
        <w:t>PTA</w:t>
      </w:r>
      <w:r w:rsidRPr="008C6D87">
        <w:rPr>
          <w:i/>
          <w:iCs/>
          <w:sz w:val="26"/>
          <w:szCs w:val="26"/>
        </w:rPr>
        <w:t>C</w:t>
      </w:r>
      <w:r w:rsidRPr="008C6D87">
        <w:rPr>
          <w:sz w:val="26"/>
          <w:szCs w:val="26"/>
        </w:rPr>
        <w:t xml:space="preserve"> rosina pārskatīt </w:t>
      </w:r>
      <w:r w:rsidRPr="008C6D87">
        <w:rPr>
          <w:i/>
          <w:iCs/>
          <w:sz w:val="26"/>
          <w:szCs w:val="26"/>
        </w:rPr>
        <w:t>Likumprojektā</w:t>
      </w:r>
      <w:r w:rsidRPr="008C6D87">
        <w:rPr>
          <w:sz w:val="26"/>
          <w:szCs w:val="26"/>
        </w:rPr>
        <w:t xml:space="preserve"> lietoto terminoloģiju attiecībā uz terminu „līgumsods”/„kompensācija” un „iekārta”, „galiekārta”/„subsidēta galiekārta” izmantošanu.</w:t>
      </w:r>
    </w:p>
    <w:p w:rsidRPr="008C6D87" w:rsidR="00AA491A" w:rsidP="00BB5A1A" w:rsidRDefault="00551402" w14:paraId="0CDF2E9F" w14:textId="77777777">
      <w:pPr>
        <w:widowControl/>
        <w:spacing w:before="240" w:after="240" w:line="240" w:lineRule="auto"/>
        <w:jc w:val="both"/>
        <w:rPr>
          <w:rFonts w:ascii="Times New Roman" w:hAnsi="Times New Roman"/>
          <w:b/>
          <w:i/>
          <w:spacing w:val="-4"/>
          <w:sz w:val="26"/>
          <w:szCs w:val="26"/>
          <w:lang w:val="lv-LV"/>
        </w:rPr>
      </w:pPr>
      <w:r w:rsidRPr="008C6D87">
        <w:rPr>
          <w:rFonts w:ascii="Times New Roman" w:hAnsi="Times New Roman"/>
          <w:b/>
          <w:i/>
          <w:spacing w:val="-4"/>
          <w:sz w:val="26"/>
          <w:szCs w:val="26"/>
          <w:lang w:val="lv-LV"/>
        </w:rPr>
        <w:t>Šis dokuments ir parakstīts ar drošu elektronisko parakstu un satur laika zīmogu.</w:t>
      </w:r>
    </w:p>
    <w:p w:rsidRPr="008C6D87" w:rsidR="00AA491A" w:rsidP="00AA491A" w:rsidRDefault="00551402" w14:paraId="0CDF2EA0" w14:textId="77777777">
      <w:pPr>
        <w:widowControl/>
        <w:tabs>
          <w:tab w:val="left" w:pos="6804"/>
        </w:tabs>
        <w:spacing w:after="0" w:line="240" w:lineRule="auto"/>
        <w:jc w:val="both"/>
        <w:rPr>
          <w:rFonts w:ascii="Times New Roman" w:hAnsi="Times New Roman" w:eastAsia="Times New Roman"/>
          <w:sz w:val="26"/>
          <w:szCs w:val="26"/>
          <w:lang w:val="lv-LV"/>
        </w:rPr>
      </w:pPr>
      <w:r w:rsidRPr="008C6D87">
        <w:rPr>
          <w:rFonts w:ascii="Times New Roman" w:hAnsi="Times New Roman" w:eastAsia="Times New Roman"/>
          <w:sz w:val="26"/>
          <w:szCs w:val="26"/>
          <w:lang w:val="lv-LV"/>
        </w:rPr>
        <w:t>Direktor</w:t>
      </w:r>
      <w:r w:rsidRPr="008C6D87" w:rsidR="001D56EA">
        <w:rPr>
          <w:rFonts w:ascii="Times New Roman" w:hAnsi="Times New Roman" w:eastAsia="Times New Roman"/>
          <w:sz w:val="26"/>
          <w:szCs w:val="26"/>
          <w:lang w:val="lv-LV"/>
        </w:rPr>
        <w:t>e</w:t>
      </w:r>
      <w:r w:rsidRPr="008C6D87">
        <w:rPr>
          <w:rFonts w:ascii="Times New Roman" w:hAnsi="Times New Roman" w:eastAsia="Times New Roman"/>
          <w:sz w:val="26"/>
          <w:szCs w:val="26"/>
          <w:lang w:val="lv-LV"/>
        </w:rPr>
        <w:tab/>
      </w:r>
      <w:r w:rsidRPr="008C6D87">
        <w:rPr>
          <w:rFonts w:ascii="Times New Roman" w:hAnsi="Times New Roman" w:eastAsia="Times New Roman"/>
          <w:noProof/>
          <w:sz w:val="26"/>
          <w:szCs w:val="26"/>
          <w:lang w:val="lv-LV"/>
        </w:rPr>
        <w:t>Baiba Vītoliņa</w:t>
      </w:r>
    </w:p>
    <w:p w:rsidRPr="008C6D87" w:rsidR="00AA491A" w:rsidP="00AA491A" w:rsidRDefault="00551402" w14:paraId="0CDF2EA1" w14:textId="77777777">
      <w:pPr>
        <w:widowControl/>
        <w:tabs>
          <w:tab w:val="left" w:pos="6840"/>
        </w:tabs>
        <w:spacing w:before="960" w:after="0" w:line="240" w:lineRule="auto"/>
        <w:jc w:val="both"/>
        <w:rPr>
          <w:rFonts w:ascii="Times New Roman" w:hAnsi="Times New Roman" w:eastAsia="Times New Roman"/>
          <w:sz w:val="17"/>
          <w:szCs w:val="17"/>
          <w:lang w:val="lv-LV"/>
        </w:rPr>
      </w:pPr>
      <w:r w:rsidRPr="008C6D87">
        <w:rPr>
          <w:rFonts w:ascii="Times New Roman" w:hAnsi="Times New Roman" w:eastAsia="Times New Roman"/>
          <w:noProof/>
          <w:sz w:val="17"/>
          <w:szCs w:val="17"/>
          <w:lang w:val="lv-LV"/>
        </w:rPr>
        <w:t>Dainis Platacs</w:t>
      </w:r>
      <w:r w:rsidRPr="008C6D87">
        <w:rPr>
          <w:rFonts w:ascii="Times New Roman" w:hAnsi="Times New Roman" w:eastAsia="Times New Roman"/>
          <w:sz w:val="17"/>
          <w:szCs w:val="17"/>
          <w:lang w:val="lv-LV"/>
        </w:rPr>
        <w:t xml:space="preserve"> </w:t>
      </w:r>
      <w:r w:rsidRPr="008C6D87">
        <w:rPr>
          <w:rFonts w:ascii="Times New Roman" w:hAnsi="Times New Roman" w:eastAsia="Times New Roman"/>
          <w:noProof/>
          <w:sz w:val="17"/>
          <w:szCs w:val="17"/>
          <w:lang w:val="lv-LV"/>
        </w:rPr>
        <w:t>67388628</w:t>
      </w:r>
    </w:p>
    <w:p w:rsidRPr="008C6D87" w:rsidR="00AA491A" w:rsidP="00AA491A" w:rsidRDefault="00551402" w14:paraId="0CDF2EA2" w14:textId="77777777">
      <w:pPr>
        <w:widowControl/>
        <w:tabs>
          <w:tab w:val="left" w:pos="6840"/>
        </w:tabs>
        <w:spacing w:after="0" w:line="240" w:lineRule="auto"/>
        <w:jc w:val="both"/>
        <w:rPr>
          <w:rFonts w:ascii="Times New Roman" w:hAnsi="Times New Roman" w:eastAsia="Times New Roman"/>
          <w:sz w:val="17"/>
          <w:szCs w:val="17"/>
          <w:lang w:val="lv-LV"/>
        </w:rPr>
      </w:pPr>
      <w:hyperlink w:history="1" r:id="rId8">
        <w:r w:rsidRPr="008C6D87" w:rsidR="004B18E3">
          <w:rPr>
            <w:rFonts w:ascii="Times New Roman" w:hAnsi="Times New Roman" w:eastAsia="Times New Roman"/>
            <w:noProof/>
            <w:sz w:val="17"/>
            <w:szCs w:val="17"/>
            <w:lang w:val="lv-LV"/>
          </w:rPr>
          <w:t>Dainis.Platacs@ptac.gov.lv</w:t>
        </w:r>
      </w:hyperlink>
    </w:p>
    <w:p w:rsidRPr="008C6D87" w:rsidR="003142AE" w:rsidP="003142AE" w:rsidRDefault="003142AE" w14:paraId="0CDF2EA3" w14:textId="77777777">
      <w:pPr>
        <w:widowControl/>
        <w:tabs>
          <w:tab w:val="left" w:pos="6840"/>
        </w:tabs>
        <w:spacing w:after="0" w:line="240" w:lineRule="auto"/>
        <w:jc w:val="both"/>
        <w:rPr>
          <w:rFonts w:ascii="Times New Roman" w:hAnsi="Times New Roman" w:eastAsia="Times New Roman"/>
          <w:sz w:val="17"/>
          <w:szCs w:val="17"/>
          <w:lang w:val="lv-LV"/>
        </w:rPr>
      </w:pPr>
    </w:p>
    <w:sectPr w:rsidRPr="008C6D87" w:rsidR="003142AE" w:rsidSect="00031194">
      <w:headerReference w:type="default" r:id="rId9"/>
      <w:headerReference w:type="first" r:id="rId10"/>
      <w:type w:val="continuous"/>
      <w:pgSz w:w="11907" w:h="16840" w:code="9"/>
      <w:pgMar w:top="1134" w:right="1134" w:bottom="1134" w:left="1701" w:header="709" w:footer="709"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2EB6" w14:textId="77777777" w:rsidR="00000000" w:rsidRDefault="00551402">
      <w:pPr>
        <w:spacing w:after="0" w:line="240" w:lineRule="auto"/>
      </w:pPr>
      <w:r>
        <w:separator/>
      </w:r>
    </w:p>
  </w:endnote>
  <w:endnote w:type="continuationSeparator" w:id="0">
    <w:p w14:paraId="0CDF2EB8" w14:textId="77777777" w:rsidR="00000000" w:rsidRDefault="0055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2EB2" w14:textId="77777777" w:rsidR="00000000" w:rsidRDefault="00551402">
      <w:pPr>
        <w:spacing w:after="0" w:line="240" w:lineRule="auto"/>
      </w:pPr>
      <w:r>
        <w:separator/>
      </w:r>
    </w:p>
  </w:footnote>
  <w:footnote w:type="continuationSeparator" w:id="0">
    <w:p w14:paraId="0CDF2EB4" w14:textId="77777777" w:rsidR="00000000" w:rsidRDefault="0055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142AE" w:rsidR="003142AE" w:rsidRDefault="00551402" w14:paraId="0CDF2EA4" w14:textId="77777777">
    <w:pPr>
      <w:pStyle w:val="Header"/>
      <w:jc w:val="center"/>
      <w:rPr>
        <w:rFonts w:ascii="Times New Roman" w:hAnsi="Times New Roman"/>
        <w:sz w:val="24"/>
      </w:rPr>
    </w:pPr>
    <w:r w:rsidRPr="003142AE">
      <w:rPr>
        <w:rFonts w:ascii="Times New Roman" w:hAnsi="Times New Roman"/>
        <w:sz w:val="24"/>
      </w:rPr>
      <w:fldChar w:fldCharType="begin"/>
    </w:r>
    <w:r w:rsidRPr="003142AE">
      <w:rPr>
        <w:rFonts w:ascii="Times New Roman" w:hAnsi="Times New Roman"/>
        <w:sz w:val="24"/>
      </w:rPr>
      <w:instrText xml:space="preserve"> PAGE   \* MERGEFORMAT </w:instrText>
    </w:r>
    <w:r w:rsidRPr="003142AE">
      <w:rPr>
        <w:rFonts w:ascii="Times New Roman" w:hAnsi="Times New Roman"/>
        <w:sz w:val="24"/>
      </w:rPr>
      <w:fldChar w:fldCharType="separate"/>
    </w:r>
    <w:r w:rsidR="00031194">
      <w:rPr>
        <w:rFonts w:ascii="Times New Roman" w:hAnsi="Times New Roman"/>
        <w:noProof/>
        <w:sz w:val="24"/>
      </w:rPr>
      <w:t>3</w:t>
    </w:r>
    <w:r w:rsidRPr="003142AE">
      <w:rPr>
        <w:rFonts w:ascii="Times New Roman" w:hAnsi="Times New Roman"/>
        <w:noProof/>
        <w:sz w:val="24"/>
      </w:rPr>
      <w:fldChar w:fldCharType="end"/>
    </w:r>
  </w:p>
  <w:p w:rsidR="003142AE" w:rsidRDefault="003142AE" w14:paraId="0CDF2EA5"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165F" w:rsidP="00FA165F" w:rsidRDefault="00FA165F" w14:paraId="0CDF2EA6" w14:textId="77777777">
    <w:pPr>
      <w:pStyle w:val="Header"/>
      <w:rPr>
        <w:rFonts w:ascii="Times New Roman" w:hAnsi="Times New Roman"/>
      </w:rPr>
    </w:pPr>
  </w:p>
  <w:p w:rsidR="00FA165F" w:rsidP="00FA165F" w:rsidRDefault="00FA165F" w14:paraId="0CDF2EA7" w14:textId="77777777">
    <w:pPr>
      <w:pStyle w:val="Header"/>
      <w:rPr>
        <w:rFonts w:ascii="Times New Roman" w:hAnsi="Times New Roman"/>
      </w:rPr>
    </w:pPr>
  </w:p>
  <w:p w:rsidR="00FA165F" w:rsidP="00FA165F" w:rsidRDefault="00FA165F" w14:paraId="0CDF2EA8" w14:textId="77777777">
    <w:pPr>
      <w:pStyle w:val="Header"/>
      <w:rPr>
        <w:rFonts w:ascii="Times New Roman" w:hAnsi="Times New Roman"/>
      </w:rPr>
    </w:pPr>
  </w:p>
  <w:p w:rsidR="00FA165F" w:rsidP="00FA165F" w:rsidRDefault="00FA165F" w14:paraId="0CDF2EA9" w14:textId="77777777">
    <w:pPr>
      <w:pStyle w:val="Header"/>
      <w:rPr>
        <w:rFonts w:ascii="Times New Roman" w:hAnsi="Times New Roman"/>
      </w:rPr>
    </w:pPr>
  </w:p>
  <w:p w:rsidR="00FA165F" w:rsidP="00FA165F" w:rsidRDefault="00FA165F" w14:paraId="0CDF2EAA" w14:textId="77777777">
    <w:pPr>
      <w:pStyle w:val="Header"/>
      <w:rPr>
        <w:rFonts w:ascii="Times New Roman" w:hAnsi="Times New Roman"/>
      </w:rPr>
    </w:pPr>
  </w:p>
  <w:p w:rsidR="00FA165F" w:rsidP="00FA165F" w:rsidRDefault="00FA165F" w14:paraId="0CDF2EAB" w14:textId="77777777">
    <w:pPr>
      <w:pStyle w:val="Header"/>
      <w:rPr>
        <w:rFonts w:ascii="Times New Roman" w:hAnsi="Times New Roman"/>
      </w:rPr>
    </w:pPr>
  </w:p>
  <w:p w:rsidR="00FA165F" w:rsidP="00FA165F" w:rsidRDefault="00FA165F" w14:paraId="0CDF2EAC" w14:textId="77777777">
    <w:pPr>
      <w:pStyle w:val="Header"/>
      <w:rPr>
        <w:rFonts w:ascii="Times New Roman" w:hAnsi="Times New Roman"/>
      </w:rPr>
    </w:pPr>
  </w:p>
  <w:p w:rsidR="00FA165F" w:rsidP="00FA165F" w:rsidRDefault="00FA165F" w14:paraId="0CDF2EAD" w14:textId="77777777">
    <w:pPr>
      <w:pStyle w:val="Header"/>
      <w:rPr>
        <w:rFonts w:ascii="Times New Roman" w:hAnsi="Times New Roman"/>
      </w:rPr>
    </w:pPr>
  </w:p>
  <w:p w:rsidR="00FA165F" w:rsidP="00FA165F" w:rsidRDefault="00FA165F" w14:paraId="0CDF2EAE" w14:textId="77777777">
    <w:pPr>
      <w:pStyle w:val="Header"/>
      <w:rPr>
        <w:rFonts w:ascii="Times New Roman" w:hAnsi="Times New Roman"/>
      </w:rPr>
    </w:pPr>
  </w:p>
  <w:p w:rsidR="00FA165F" w:rsidP="00FA165F" w:rsidRDefault="00FA165F" w14:paraId="0CDF2EAF" w14:textId="77777777">
    <w:pPr>
      <w:pStyle w:val="Header"/>
      <w:rPr>
        <w:rFonts w:ascii="Times New Roman" w:hAnsi="Times New Roman"/>
      </w:rPr>
    </w:pPr>
  </w:p>
  <w:p w:rsidRPr="00815277" w:rsidR="00FA165F" w:rsidP="00FA165F" w:rsidRDefault="00551402" w14:paraId="0CDF2EB0" w14:textId="77777777">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editId="0CDF2EB3" wp14:anchorId="0CDF2EB2">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05018"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editId="0CDF2EB5" wp14:anchorId="0CDF2EB4">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5F" w:rsidP="00FA165F" w:rsidRDefault="00551402" w14:paraId="0CDF2EB8" w14:textId="77777777">
                          <w:pPr>
                            <w:spacing w:after="0" w:line="194" w:lineRule="exact"/>
                            <w:ind w:left="20" w:right="-45"/>
                            <w:jc w:val="center"/>
                            <w:rPr>
                              <w:rFonts w:ascii="Times New Roman" w:hAnsi="Times New Roman" w:eastAsia="Times New Roman"/>
                              <w:sz w:val="17"/>
                              <w:szCs w:val="17"/>
                            </w:rPr>
                          </w:pPr>
                          <w:proofErr w:type="spellStart"/>
                          <w:r w:rsidRPr="005E3C4E">
                            <w:rPr>
                              <w:rFonts w:ascii="Times New Roman" w:hAnsi="Times New Roman" w:eastAsia="Times New Roman"/>
                              <w:color w:val="231F20"/>
                              <w:sz w:val="17"/>
                              <w:szCs w:val="17"/>
                            </w:rPr>
                            <w:t>Brīvības</w:t>
                          </w:r>
                          <w:proofErr w:type="spellEnd"/>
                          <w:r w:rsidRPr="005E3C4E">
                            <w:rPr>
                              <w:rFonts w:ascii="Times New Roman" w:hAnsi="Times New Roman" w:eastAsia="Times New Roman"/>
                              <w:color w:val="231F20"/>
                              <w:sz w:val="17"/>
                              <w:szCs w:val="17"/>
                            </w:rPr>
                            <w:t xml:space="preserve"> </w:t>
                          </w:r>
                          <w:proofErr w:type="spellStart"/>
                          <w:r w:rsidRPr="005E3C4E">
                            <w:rPr>
                              <w:rFonts w:ascii="Times New Roman" w:hAnsi="Times New Roman" w:eastAsia="Times New Roman"/>
                              <w:color w:val="231F20"/>
                              <w:sz w:val="17"/>
                              <w:szCs w:val="17"/>
                            </w:rPr>
                            <w:t>iela</w:t>
                          </w:r>
                          <w:proofErr w:type="spellEnd"/>
                          <w:r w:rsidRPr="005E3C4E">
                            <w:rPr>
                              <w:rFonts w:ascii="Times New Roman" w:hAnsi="Times New Roman" w:eastAsia="Times New Roman"/>
                              <w:color w:val="231F20"/>
                              <w:sz w:val="17"/>
                              <w:szCs w:val="17"/>
                            </w:rPr>
                            <w:t xml:space="preserve"> 55, </w:t>
                          </w:r>
                          <w:proofErr w:type="spellStart"/>
                          <w:smartTag w:uri="urn:schemas-microsoft-com:office:smarttags" w:element="City">
                            <w:smartTag w:uri="urn:schemas-microsoft-com:office:smarttags" w:element="place">
                              <w:r w:rsidRPr="005E3C4E">
                                <w:rPr>
                                  <w:rFonts w:ascii="Times New Roman" w:eastAsia="Times New Roman" w:hAnsi="Times New Roman"/>
                                  <w:color w:val="231F20"/>
                                  <w:sz w:val="17"/>
                                  <w:szCs w:val="17"/>
                                </w:rPr>
                                <w:t>Rīga</w:t>
                              </w:r>
                            </w:smartTag>
                          </w:smartTag>
                          <w:proofErr w:type="spellEnd"/>
                          <w:r w:rsidRPr="005E3C4E">
                            <w:rPr>
                              <w:rFonts w:ascii="Times New Roman" w:hAnsi="Times New Roman" w:eastAsia="Times New Roman"/>
                              <w:color w:val="231F20"/>
                              <w:sz w:val="17"/>
                              <w:szCs w:val="17"/>
                            </w:rPr>
                            <w:t xml:space="preserve">, LV-1010, </w:t>
                          </w:r>
                          <w:proofErr w:type="spellStart"/>
                          <w:r w:rsidRPr="005E3C4E">
                            <w:rPr>
                              <w:rFonts w:ascii="Times New Roman" w:hAnsi="Times New Roman" w:eastAsia="Times New Roman"/>
                              <w:color w:val="231F20"/>
                              <w:sz w:val="17"/>
                              <w:szCs w:val="17"/>
                            </w:rPr>
                            <w:t>tālr</w:t>
                          </w:r>
                          <w:proofErr w:type="spellEnd"/>
                          <w:r w:rsidRPr="005E3C4E">
                            <w:rPr>
                              <w:rFonts w:ascii="Times New Roman" w:hAnsi="Times New Roman" w:eastAsia="Times New Roman"/>
                              <w:color w:val="231F20"/>
                              <w:sz w:val="17"/>
                              <w:szCs w:val="17"/>
                            </w:rPr>
                            <w:t>. 6</w:t>
                          </w:r>
                          <w:r w:rsidR="003142AE">
                            <w:rPr>
                              <w:rFonts w:ascii="Times New Roman" w:hAnsi="Times New Roman" w:eastAsia="Times New Roman"/>
                              <w:color w:val="231F20"/>
                              <w:sz w:val="17"/>
                              <w:szCs w:val="17"/>
                            </w:rPr>
                            <w:t>7388624</w:t>
                          </w:r>
                          <w:r w:rsidRPr="005E3C4E">
                            <w:rPr>
                              <w:rFonts w:ascii="Times New Roman" w:hAnsi="Times New Roman" w:eastAsia="Times New Roman"/>
                              <w:color w:val="231F20"/>
                              <w:sz w:val="17"/>
                              <w:szCs w:val="17"/>
                            </w:rPr>
                            <w:t xml:space="preserve">, </w:t>
                          </w:r>
                          <w:proofErr w:type="spellStart"/>
                          <w:r w:rsidRPr="005E3C4E">
                            <w:rPr>
                              <w:rFonts w:ascii="Times New Roman" w:hAnsi="Times New Roman" w:eastAsia="Times New Roman"/>
                              <w:color w:val="231F20"/>
                              <w:sz w:val="17"/>
                              <w:szCs w:val="17"/>
                            </w:rPr>
                            <w:t>fakss</w:t>
                          </w:r>
                          <w:proofErr w:type="spellEnd"/>
                          <w:r w:rsidRPr="005E3C4E">
                            <w:rPr>
                              <w:rFonts w:ascii="Times New Roman" w:hAnsi="Times New Roman" w:eastAsia="Times New Roman"/>
                              <w:color w:val="231F20"/>
                              <w:sz w:val="17"/>
                              <w:szCs w:val="17"/>
                            </w:rPr>
                            <w:t xml:space="preserve"> 67388634, e-pasts p</w:t>
                          </w:r>
                          <w:r w:rsidR="00AA491A">
                            <w:rPr>
                              <w:rFonts w:ascii="Times New Roman" w:hAnsi="Times New Roman" w:eastAsia="Times New Roman"/>
                              <w:color w:val="231F20"/>
                              <w:sz w:val="17"/>
                              <w:szCs w:val="17"/>
                            </w:rPr>
                            <w:t>asts</w:t>
                          </w:r>
                          <w:r w:rsidRPr="005E3C4E">
                            <w:rPr>
                              <w:rFonts w:ascii="Times New Roman" w:hAnsi="Times New Roman" w:eastAsia="Times New Roman"/>
                              <w:color w:val="231F20"/>
                              <w:sz w:val="17"/>
                              <w:szCs w:val="17"/>
                            </w:rPr>
                            <w:t>@ptac.gov.lv, www.ptac.gov.lv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DF2EB4">
              <v:stroke joinstyle="miter"/>
              <v:path gradientshapeok="t" o:connecttype="rect"/>
            </v:shapetype>
            <v:shape id="Text Box 43"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">
              <v:textbox inset="0,0,0,0">
                <w:txbxContent>
                  <w:p w:rsidR="00FA165F" w:rsidP="00FA165F" w:rsidRDefault="00551402" w14:paraId="0CDF2EB8" w14:textId="77777777">
                    <w:pPr>
                      <w:spacing w:after="0" w:line="194" w:lineRule="exact"/>
                      <w:ind w:left="20" w:right="-45"/>
                      <w:jc w:val="center"/>
                      <w:rPr>
                        <w:rFonts w:ascii="Times New Roman" w:hAnsi="Times New Roman" w:eastAsia="Times New Roman"/>
                        <w:sz w:val="17"/>
                        <w:szCs w:val="17"/>
                      </w:rPr>
                    </w:pPr>
                    <w:proofErr w:type="spellStart"/>
                    <w:r w:rsidRPr="005E3C4E">
                      <w:rPr>
                        <w:rFonts w:ascii="Times New Roman" w:hAnsi="Times New Roman" w:eastAsia="Times New Roman"/>
                        <w:color w:val="231F20"/>
                        <w:sz w:val="17"/>
                        <w:szCs w:val="17"/>
                      </w:rPr>
                      <w:t>Brīvības</w:t>
                    </w:r>
                    <w:proofErr w:type="spellEnd"/>
                    <w:r w:rsidRPr="005E3C4E">
                      <w:rPr>
                        <w:rFonts w:ascii="Times New Roman" w:hAnsi="Times New Roman" w:eastAsia="Times New Roman"/>
                        <w:color w:val="231F20"/>
                        <w:sz w:val="17"/>
                        <w:szCs w:val="17"/>
                      </w:rPr>
                      <w:t xml:space="preserve"> </w:t>
                    </w:r>
                    <w:proofErr w:type="spellStart"/>
                    <w:r w:rsidRPr="005E3C4E">
                      <w:rPr>
                        <w:rFonts w:ascii="Times New Roman" w:hAnsi="Times New Roman" w:eastAsia="Times New Roman"/>
                        <w:color w:val="231F20"/>
                        <w:sz w:val="17"/>
                        <w:szCs w:val="17"/>
                      </w:rPr>
                      <w:t>iela</w:t>
                    </w:r>
                    <w:proofErr w:type="spellEnd"/>
                    <w:r w:rsidRPr="005E3C4E">
                      <w:rPr>
                        <w:rFonts w:ascii="Times New Roman" w:hAnsi="Times New Roman" w:eastAsia="Times New Roman"/>
                        <w:color w:val="231F20"/>
                        <w:sz w:val="17"/>
                        <w:szCs w:val="17"/>
                      </w:rPr>
                      <w:t xml:space="preserve"> 55, </w:t>
                    </w:r>
                    <w:proofErr w:type="spellStart"/>
                    <w:smartTag w:uri="urn:schemas-microsoft-com:office:smarttags" w:element="City">
                      <w:smartTag w:uri="urn:schemas-microsoft-com:office:smarttags" w:element="place">
                        <w:r w:rsidRPr="005E3C4E">
                          <w:rPr>
                            <w:rFonts w:ascii="Times New Roman" w:eastAsia="Times New Roman" w:hAnsi="Times New Roman"/>
                            <w:color w:val="231F20"/>
                            <w:sz w:val="17"/>
                            <w:szCs w:val="17"/>
                          </w:rPr>
                          <w:t>Rīga</w:t>
                        </w:r>
                      </w:smartTag>
                    </w:smartTag>
                    <w:proofErr w:type="spellEnd"/>
                    <w:r w:rsidRPr="005E3C4E">
                      <w:rPr>
                        <w:rFonts w:ascii="Times New Roman" w:hAnsi="Times New Roman" w:eastAsia="Times New Roman"/>
                        <w:color w:val="231F20"/>
                        <w:sz w:val="17"/>
                        <w:szCs w:val="17"/>
                      </w:rPr>
                      <w:t xml:space="preserve">, LV-1010, </w:t>
                    </w:r>
                    <w:proofErr w:type="spellStart"/>
                    <w:r w:rsidRPr="005E3C4E">
                      <w:rPr>
                        <w:rFonts w:ascii="Times New Roman" w:hAnsi="Times New Roman" w:eastAsia="Times New Roman"/>
                        <w:color w:val="231F20"/>
                        <w:sz w:val="17"/>
                        <w:szCs w:val="17"/>
                      </w:rPr>
                      <w:t>tālr</w:t>
                    </w:r>
                    <w:proofErr w:type="spellEnd"/>
                    <w:r w:rsidRPr="005E3C4E">
                      <w:rPr>
                        <w:rFonts w:ascii="Times New Roman" w:hAnsi="Times New Roman" w:eastAsia="Times New Roman"/>
                        <w:color w:val="231F20"/>
                        <w:sz w:val="17"/>
                        <w:szCs w:val="17"/>
                      </w:rPr>
                      <w:t>. 6</w:t>
                    </w:r>
                    <w:r w:rsidR="003142AE">
                      <w:rPr>
                        <w:rFonts w:ascii="Times New Roman" w:hAnsi="Times New Roman" w:eastAsia="Times New Roman"/>
                        <w:color w:val="231F20"/>
                        <w:sz w:val="17"/>
                        <w:szCs w:val="17"/>
                      </w:rPr>
                      <w:t>7388624</w:t>
                    </w:r>
                    <w:r w:rsidRPr="005E3C4E">
                      <w:rPr>
                        <w:rFonts w:ascii="Times New Roman" w:hAnsi="Times New Roman" w:eastAsia="Times New Roman"/>
                        <w:color w:val="231F20"/>
                        <w:sz w:val="17"/>
                        <w:szCs w:val="17"/>
                      </w:rPr>
                      <w:t xml:space="preserve">, </w:t>
                    </w:r>
                    <w:proofErr w:type="spellStart"/>
                    <w:r w:rsidRPr="005E3C4E">
                      <w:rPr>
                        <w:rFonts w:ascii="Times New Roman" w:hAnsi="Times New Roman" w:eastAsia="Times New Roman"/>
                        <w:color w:val="231F20"/>
                        <w:sz w:val="17"/>
                        <w:szCs w:val="17"/>
                      </w:rPr>
                      <w:t>fakss</w:t>
                    </w:r>
                    <w:proofErr w:type="spellEnd"/>
                    <w:r w:rsidRPr="005E3C4E">
                      <w:rPr>
                        <w:rFonts w:ascii="Times New Roman" w:hAnsi="Times New Roman" w:eastAsia="Times New Roman"/>
                        <w:color w:val="231F20"/>
                        <w:sz w:val="17"/>
                        <w:szCs w:val="17"/>
                      </w:rPr>
                      <w:t xml:space="preserve"> 67388634, e-pasts p</w:t>
                    </w:r>
                    <w:r w:rsidR="00AA491A">
                      <w:rPr>
                        <w:rFonts w:ascii="Times New Roman" w:hAnsi="Times New Roman" w:eastAsia="Times New Roman"/>
                        <w:color w:val="231F20"/>
                        <w:sz w:val="17"/>
                        <w:szCs w:val="17"/>
                      </w:rPr>
                      <w:t>asts</w:t>
                    </w:r>
                    <w:r w:rsidRPr="005E3C4E">
                      <w:rPr>
                        <w:rFonts w:ascii="Times New Roman" w:hAnsi="Times New Roman" w:eastAsia="Times New Roman"/>
                        <w:color w:val="231F20"/>
                        <w:sz w:val="17"/>
                        <w:szCs w:val="17"/>
                      </w:rPr>
                      <w:t>@ptac.gov.lv, www.ptac.gov.lv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editId="0CDF2EB7" wp14:anchorId="0CDF2EB6">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style="width:346.25pt;height:0.1pt;margin-top:149.85pt;margin-left:145.7pt;mso-position-horizontal-relative:page;mso-position-vertical-relative:page;position:absolute;z-index:-251656192" coordsize="6926,2" coordorigin="2915,2998" o:spid="_x0000_s2050">
              <v:shape id="Freeform 42" style="width:6926;height:2;left:2915;mso-wrap-style:square;position:absolute;top:2998;visibility:visible;v-text-anchor:top" coordsize="6926,2" o:spid="_x0000_s2051" filled="f" strokecolor="#231f20" strokeweight="0.25pt" path="m,l6926,e">
                <v:path arrowok="t" o:connecttype="custom" o:connectlocs="0,0;6926,0" o:connectangles="0,0"/>
              </v:shape>
            </v:group>
          </w:pict>
        </mc:Fallback>
      </mc:AlternateContent>
    </w:r>
  </w:p>
  <w:p w:rsidR="00FA165F" w:rsidRDefault="00FA165F" w14:paraId="0CDF2E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B7C394A"/>
    <w:multiLevelType w:val="hybridMultilevel"/>
    <w:tmpl w:val="F77CF7AE"/>
    <w:lvl w:ilvl="0" w:tplc="EC44AEC8">
      <w:numFmt w:val="bullet"/>
      <w:lvlText w:val="-"/>
      <w:lvlJc w:val="left"/>
      <w:pPr>
        <w:ind w:left="1069" w:hanging="360"/>
      </w:pPr>
      <w:rPr>
        <w:rFonts w:ascii="Times New Roman" w:eastAsia="Times New Roman" w:hAnsi="Times New Roman" w:cs="Times New Roman" w:hint="default"/>
      </w:rPr>
    </w:lvl>
    <w:lvl w:ilvl="1" w:tplc="9F0E56BE" w:tentative="1">
      <w:start w:val="1"/>
      <w:numFmt w:val="bullet"/>
      <w:lvlText w:val="o"/>
      <w:lvlJc w:val="left"/>
      <w:pPr>
        <w:ind w:left="1789" w:hanging="360"/>
      </w:pPr>
      <w:rPr>
        <w:rFonts w:ascii="Courier New" w:hAnsi="Courier New" w:cs="Courier New" w:hint="default"/>
      </w:rPr>
    </w:lvl>
    <w:lvl w:ilvl="2" w:tplc="0F28D6AE" w:tentative="1">
      <w:start w:val="1"/>
      <w:numFmt w:val="bullet"/>
      <w:lvlText w:val=""/>
      <w:lvlJc w:val="left"/>
      <w:pPr>
        <w:ind w:left="2509" w:hanging="360"/>
      </w:pPr>
      <w:rPr>
        <w:rFonts w:ascii="Wingdings" w:hAnsi="Wingdings" w:hint="default"/>
      </w:rPr>
    </w:lvl>
    <w:lvl w:ilvl="3" w:tplc="83804858" w:tentative="1">
      <w:start w:val="1"/>
      <w:numFmt w:val="bullet"/>
      <w:lvlText w:val=""/>
      <w:lvlJc w:val="left"/>
      <w:pPr>
        <w:ind w:left="3229" w:hanging="360"/>
      </w:pPr>
      <w:rPr>
        <w:rFonts w:ascii="Symbol" w:hAnsi="Symbol" w:hint="default"/>
      </w:rPr>
    </w:lvl>
    <w:lvl w:ilvl="4" w:tplc="C4EE9530" w:tentative="1">
      <w:start w:val="1"/>
      <w:numFmt w:val="bullet"/>
      <w:lvlText w:val="o"/>
      <w:lvlJc w:val="left"/>
      <w:pPr>
        <w:ind w:left="3949" w:hanging="360"/>
      </w:pPr>
      <w:rPr>
        <w:rFonts w:ascii="Courier New" w:hAnsi="Courier New" w:cs="Courier New" w:hint="default"/>
      </w:rPr>
    </w:lvl>
    <w:lvl w:ilvl="5" w:tplc="E12857DA" w:tentative="1">
      <w:start w:val="1"/>
      <w:numFmt w:val="bullet"/>
      <w:lvlText w:val=""/>
      <w:lvlJc w:val="left"/>
      <w:pPr>
        <w:ind w:left="4669" w:hanging="360"/>
      </w:pPr>
      <w:rPr>
        <w:rFonts w:ascii="Wingdings" w:hAnsi="Wingdings" w:hint="default"/>
      </w:rPr>
    </w:lvl>
    <w:lvl w:ilvl="6" w:tplc="A09E59AC" w:tentative="1">
      <w:start w:val="1"/>
      <w:numFmt w:val="bullet"/>
      <w:lvlText w:val=""/>
      <w:lvlJc w:val="left"/>
      <w:pPr>
        <w:ind w:left="5389" w:hanging="360"/>
      </w:pPr>
      <w:rPr>
        <w:rFonts w:ascii="Symbol" w:hAnsi="Symbol" w:hint="default"/>
      </w:rPr>
    </w:lvl>
    <w:lvl w:ilvl="7" w:tplc="B32C26BA" w:tentative="1">
      <w:start w:val="1"/>
      <w:numFmt w:val="bullet"/>
      <w:lvlText w:val="o"/>
      <w:lvlJc w:val="left"/>
      <w:pPr>
        <w:ind w:left="6109" w:hanging="360"/>
      </w:pPr>
      <w:rPr>
        <w:rFonts w:ascii="Courier New" w:hAnsi="Courier New" w:cs="Courier New" w:hint="default"/>
      </w:rPr>
    </w:lvl>
    <w:lvl w:ilvl="8" w:tplc="26527AF4" w:tentative="1">
      <w:start w:val="1"/>
      <w:numFmt w:val="bullet"/>
      <w:lvlText w:val=""/>
      <w:lvlJc w:val="left"/>
      <w:pPr>
        <w:ind w:left="6829" w:hanging="360"/>
      </w:pPr>
      <w:rPr>
        <w:rFonts w:ascii="Wingdings" w:hAnsi="Wingdings" w:hint="default"/>
      </w:rPr>
    </w:lvl>
  </w:abstractNum>
  <w:abstractNum w:abstractNumId="12" w15:restartNumberingAfterBreak="1">
    <w:nsid w:val="5B3430B1"/>
    <w:multiLevelType w:val="hybridMultilevel"/>
    <w:tmpl w:val="B4AA5FD6"/>
    <w:lvl w:ilvl="0" w:tplc="51DCBBF8">
      <w:numFmt w:val="bullet"/>
      <w:lvlText w:val="-"/>
      <w:lvlJc w:val="left"/>
      <w:pPr>
        <w:ind w:left="1069" w:hanging="360"/>
      </w:pPr>
      <w:rPr>
        <w:rFonts w:ascii="Times New Roman" w:eastAsia="Times New Roman" w:hAnsi="Times New Roman" w:cs="Times New Roman" w:hint="default"/>
      </w:rPr>
    </w:lvl>
    <w:lvl w:ilvl="1" w:tplc="98F67FB8" w:tentative="1">
      <w:start w:val="1"/>
      <w:numFmt w:val="bullet"/>
      <w:lvlText w:val="o"/>
      <w:lvlJc w:val="left"/>
      <w:pPr>
        <w:ind w:left="1789" w:hanging="360"/>
      </w:pPr>
      <w:rPr>
        <w:rFonts w:ascii="Courier New" w:hAnsi="Courier New" w:cs="Courier New" w:hint="default"/>
      </w:rPr>
    </w:lvl>
    <w:lvl w:ilvl="2" w:tplc="5C4E82A8" w:tentative="1">
      <w:start w:val="1"/>
      <w:numFmt w:val="bullet"/>
      <w:lvlText w:val=""/>
      <w:lvlJc w:val="left"/>
      <w:pPr>
        <w:ind w:left="2509" w:hanging="360"/>
      </w:pPr>
      <w:rPr>
        <w:rFonts w:ascii="Wingdings" w:hAnsi="Wingdings" w:hint="default"/>
      </w:rPr>
    </w:lvl>
    <w:lvl w:ilvl="3" w:tplc="E14A55AA" w:tentative="1">
      <w:start w:val="1"/>
      <w:numFmt w:val="bullet"/>
      <w:lvlText w:val=""/>
      <w:lvlJc w:val="left"/>
      <w:pPr>
        <w:ind w:left="3229" w:hanging="360"/>
      </w:pPr>
      <w:rPr>
        <w:rFonts w:ascii="Symbol" w:hAnsi="Symbol" w:hint="default"/>
      </w:rPr>
    </w:lvl>
    <w:lvl w:ilvl="4" w:tplc="C6BA5E8E" w:tentative="1">
      <w:start w:val="1"/>
      <w:numFmt w:val="bullet"/>
      <w:lvlText w:val="o"/>
      <w:lvlJc w:val="left"/>
      <w:pPr>
        <w:ind w:left="3949" w:hanging="360"/>
      </w:pPr>
      <w:rPr>
        <w:rFonts w:ascii="Courier New" w:hAnsi="Courier New" w:cs="Courier New" w:hint="default"/>
      </w:rPr>
    </w:lvl>
    <w:lvl w:ilvl="5" w:tplc="E368A6AE" w:tentative="1">
      <w:start w:val="1"/>
      <w:numFmt w:val="bullet"/>
      <w:lvlText w:val=""/>
      <w:lvlJc w:val="left"/>
      <w:pPr>
        <w:ind w:left="4669" w:hanging="360"/>
      </w:pPr>
      <w:rPr>
        <w:rFonts w:ascii="Wingdings" w:hAnsi="Wingdings" w:hint="default"/>
      </w:rPr>
    </w:lvl>
    <w:lvl w:ilvl="6" w:tplc="DC5A1748" w:tentative="1">
      <w:start w:val="1"/>
      <w:numFmt w:val="bullet"/>
      <w:lvlText w:val=""/>
      <w:lvlJc w:val="left"/>
      <w:pPr>
        <w:ind w:left="5389" w:hanging="360"/>
      </w:pPr>
      <w:rPr>
        <w:rFonts w:ascii="Symbol" w:hAnsi="Symbol" w:hint="default"/>
      </w:rPr>
    </w:lvl>
    <w:lvl w:ilvl="7" w:tplc="973C6278" w:tentative="1">
      <w:start w:val="1"/>
      <w:numFmt w:val="bullet"/>
      <w:lvlText w:val="o"/>
      <w:lvlJc w:val="left"/>
      <w:pPr>
        <w:ind w:left="6109" w:hanging="360"/>
      </w:pPr>
      <w:rPr>
        <w:rFonts w:ascii="Courier New" w:hAnsi="Courier New" w:cs="Courier New" w:hint="default"/>
      </w:rPr>
    </w:lvl>
    <w:lvl w:ilvl="8" w:tplc="2CE01650"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5D"/>
    <w:rsid w:val="0000496F"/>
    <w:rsid w:val="00005FCB"/>
    <w:rsid w:val="00006384"/>
    <w:rsid w:val="00013CF8"/>
    <w:rsid w:val="000260B8"/>
    <w:rsid w:val="00030349"/>
    <w:rsid w:val="00031194"/>
    <w:rsid w:val="00036219"/>
    <w:rsid w:val="00044AAD"/>
    <w:rsid w:val="0004536A"/>
    <w:rsid w:val="00046490"/>
    <w:rsid w:val="00050C63"/>
    <w:rsid w:val="00054668"/>
    <w:rsid w:val="000712A2"/>
    <w:rsid w:val="00090677"/>
    <w:rsid w:val="00091E8D"/>
    <w:rsid w:val="00095985"/>
    <w:rsid w:val="0009778B"/>
    <w:rsid w:val="000B0B1D"/>
    <w:rsid w:val="000C453B"/>
    <w:rsid w:val="000C58E5"/>
    <w:rsid w:val="000D7826"/>
    <w:rsid w:val="000E1CC3"/>
    <w:rsid w:val="000E6816"/>
    <w:rsid w:val="000E710D"/>
    <w:rsid w:val="00100957"/>
    <w:rsid w:val="00113F17"/>
    <w:rsid w:val="0011631E"/>
    <w:rsid w:val="00124173"/>
    <w:rsid w:val="00154C3C"/>
    <w:rsid w:val="00156CE7"/>
    <w:rsid w:val="001A3A35"/>
    <w:rsid w:val="001A47EA"/>
    <w:rsid w:val="001A5BFC"/>
    <w:rsid w:val="001C6EAC"/>
    <w:rsid w:val="001D56EA"/>
    <w:rsid w:val="001E74AF"/>
    <w:rsid w:val="002039FF"/>
    <w:rsid w:val="002405BA"/>
    <w:rsid w:val="00241064"/>
    <w:rsid w:val="002600A8"/>
    <w:rsid w:val="00275B9E"/>
    <w:rsid w:val="002856E8"/>
    <w:rsid w:val="002A7FDA"/>
    <w:rsid w:val="002D7104"/>
    <w:rsid w:val="002D7D04"/>
    <w:rsid w:val="002E1474"/>
    <w:rsid w:val="002E1EF7"/>
    <w:rsid w:val="002E3425"/>
    <w:rsid w:val="003052CF"/>
    <w:rsid w:val="00305395"/>
    <w:rsid w:val="0031041F"/>
    <w:rsid w:val="00311E29"/>
    <w:rsid w:val="003142AE"/>
    <w:rsid w:val="0034273C"/>
    <w:rsid w:val="00343CF4"/>
    <w:rsid w:val="00352A6E"/>
    <w:rsid w:val="0035517A"/>
    <w:rsid w:val="00383B83"/>
    <w:rsid w:val="003B5CAD"/>
    <w:rsid w:val="003B7E0E"/>
    <w:rsid w:val="003C413B"/>
    <w:rsid w:val="003C4E8C"/>
    <w:rsid w:val="003D50DA"/>
    <w:rsid w:val="00413DE3"/>
    <w:rsid w:val="00416868"/>
    <w:rsid w:val="00425A9E"/>
    <w:rsid w:val="00433A1F"/>
    <w:rsid w:val="0047516F"/>
    <w:rsid w:val="00481B45"/>
    <w:rsid w:val="00493C77"/>
    <w:rsid w:val="004B18E3"/>
    <w:rsid w:val="004B641E"/>
    <w:rsid w:val="004D3878"/>
    <w:rsid w:val="004D70A9"/>
    <w:rsid w:val="004E69BE"/>
    <w:rsid w:val="004F34FC"/>
    <w:rsid w:val="00502E35"/>
    <w:rsid w:val="00506BCD"/>
    <w:rsid w:val="00511EE6"/>
    <w:rsid w:val="00515822"/>
    <w:rsid w:val="00530E32"/>
    <w:rsid w:val="00535564"/>
    <w:rsid w:val="00551402"/>
    <w:rsid w:val="00557317"/>
    <w:rsid w:val="00571474"/>
    <w:rsid w:val="005809C1"/>
    <w:rsid w:val="0059733C"/>
    <w:rsid w:val="005C1A29"/>
    <w:rsid w:val="005D2859"/>
    <w:rsid w:val="005D49A3"/>
    <w:rsid w:val="005D6AD9"/>
    <w:rsid w:val="005E3C4E"/>
    <w:rsid w:val="005F0D22"/>
    <w:rsid w:val="00603C05"/>
    <w:rsid w:val="0062476A"/>
    <w:rsid w:val="00642153"/>
    <w:rsid w:val="00651DA3"/>
    <w:rsid w:val="00663C3A"/>
    <w:rsid w:val="0068267E"/>
    <w:rsid w:val="00695743"/>
    <w:rsid w:val="00715387"/>
    <w:rsid w:val="00716C0D"/>
    <w:rsid w:val="007373D9"/>
    <w:rsid w:val="00740F3A"/>
    <w:rsid w:val="00742410"/>
    <w:rsid w:val="0074718E"/>
    <w:rsid w:val="0077052C"/>
    <w:rsid w:val="007877BE"/>
    <w:rsid w:val="007A6F32"/>
    <w:rsid w:val="007B1F5D"/>
    <w:rsid w:val="007B3BA5"/>
    <w:rsid w:val="007B55F0"/>
    <w:rsid w:val="007C1680"/>
    <w:rsid w:val="007C531C"/>
    <w:rsid w:val="007E4D1F"/>
    <w:rsid w:val="00800953"/>
    <w:rsid w:val="00815277"/>
    <w:rsid w:val="008302D0"/>
    <w:rsid w:val="008360E9"/>
    <w:rsid w:val="00861381"/>
    <w:rsid w:val="00864039"/>
    <w:rsid w:val="00865324"/>
    <w:rsid w:val="00865ED5"/>
    <w:rsid w:val="008701CB"/>
    <w:rsid w:val="00874AE1"/>
    <w:rsid w:val="00876C21"/>
    <w:rsid w:val="00896F35"/>
    <w:rsid w:val="008A04A1"/>
    <w:rsid w:val="008C4348"/>
    <w:rsid w:val="008C6D87"/>
    <w:rsid w:val="008E3896"/>
    <w:rsid w:val="009032DF"/>
    <w:rsid w:val="009169BF"/>
    <w:rsid w:val="00923E7A"/>
    <w:rsid w:val="00950EA8"/>
    <w:rsid w:val="00962020"/>
    <w:rsid w:val="00965EA1"/>
    <w:rsid w:val="009662E2"/>
    <w:rsid w:val="009675FF"/>
    <w:rsid w:val="009753DB"/>
    <w:rsid w:val="00993FB5"/>
    <w:rsid w:val="0099589B"/>
    <w:rsid w:val="009A726B"/>
    <w:rsid w:val="009C32BA"/>
    <w:rsid w:val="009D0F56"/>
    <w:rsid w:val="009D4511"/>
    <w:rsid w:val="009E4944"/>
    <w:rsid w:val="009F25BC"/>
    <w:rsid w:val="00A2194E"/>
    <w:rsid w:val="00A27842"/>
    <w:rsid w:val="00A51D49"/>
    <w:rsid w:val="00A55FD7"/>
    <w:rsid w:val="00A72207"/>
    <w:rsid w:val="00A73C7F"/>
    <w:rsid w:val="00A75A69"/>
    <w:rsid w:val="00A92651"/>
    <w:rsid w:val="00A93926"/>
    <w:rsid w:val="00A95BEA"/>
    <w:rsid w:val="00AA491A"/>
    <w:rsid w:val="00AA7979"/>
    <w:rsid w:val="00AC4F83"/>
    <w:rsid w:val="00AD2BBC"/>
    <w:rsid w:val="00AD6835"/>
    <w:rsid w:val="00AE36F6"/>
    <w:rsid w:val="00AF0B11"/>
    <w:rsid w:val="00B01256"/>
    <w:rsid w:val="00B035D6"/>
    <w:rsid w:val="00B10C84"/>
    <w:rsid w:val="00B43CFB"/>
    <w:rsid w:val="00B74737"/>
    <w:rsid w:val="00BB5A1A"/>
    <w:rsid w:val="00BB6494"/>
    <w:rsid w:val="00BD3AC4"/>
    <w:rsid w:val="00C223AB"/>
    <w:rsid w:val="00C3155F"/>
    <w:rsid w:val="00C43677"/>
    <w:rsid w:val="00C47F57"/>
    <w:rsid w:val="00C6482D"/>
    <w:rsid w:val="00C728DC"/>
    <w:rsid w:val="00C757ED"/>
    <w:rsid w:val="00C770E4"/>
    <w:rsid w:val="00C7738D"/>
    <w:rsid w:val="00C8534A"/>
    <w:rsid w:val="00C90105"/>
    <w:rsid w:val="00CA66CE"/>
    <w:rsid w:val="00CE39C0"/>
    <w:rsid w:val="00CE7461"/>
    <w:rsid w:val="00CF53C5"/>
    <w:rsid w:val="00D029CA"/>
    <w:rsid w:val="00D21FA6"/>
    <w:rsid w:val="00D41966"/>
    <w:rsid w:val="00D530BF"/>
    <w:rsid w:val="00D551FE"/>
    <w:rsid w:val="00D55DFF"/>
    <w:rsid w:val="00D611B4"/>
    <w:rsid w:val="00D66098"/>
    <w:rsid w:val="00D674A8"/>
    <w:rsid w:val="00D843C4"/>
    <w:rsid w:val="00DA67CA"/>
    <w:rsid w:val="00DC5237"/>
    <w:rsid w:val="00E14B4F"/>
    <w:rsid w:val="00E31AA8"/>
    <w:rsid w:val="00E365CE"/>
    <w:rsid w:val="00E4596D"/>
    <w:rsid w:val="00E653C4"/>
    <w:rsid w:val="00E7353C"/>
    <w:rsid w:val="00E83909"/>
    <w:rsid w:val="00EB4A3D"/>
    <w:rsid w:val="00EB6B69"/>
    <w:rsid w:val="00EC650A"/>
    <w:rsid w:val="00EE7A86"/>
    <w:rsid w:val="00F146B6"/>
    <w:rsid w:val="00F30975"/>
    <w:rsid w:val="00F327D3"/>
    <w:rsid w:val="00F3782F"/>
    <w:rsid w:val="00FA165F"/>
    <w:rsid w:val="00FB364B"/>
    <w:rsid w:val="00FD7169"/>
    <w:rsid w:val="00FD7262"/>
    <w:rsid w:val="00FE495D"/>
    <w:rsid w:val="00FE4CB0"/>
    <w:rsid w:val="00FE6A63"/>
    <w:rsid w:val="00FF381D"/>
    <w:rsid w:val="00FF39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DF2E78"/>
  <w15:chartTrackingRefBased/>
  <w15:docId w15:val="{6DA188FE-EFD5-4D16-BD7D-1A6F7AB0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4B18E3"/>
    <w:pPr>
      <w:widowControl/>
      <w:spacing w:after="0" w:line="240" w:lineRule="auto"/>
      <w:ind w:left="720"/>
    </w:pPr>
    <w:rPr>
      <w:rFonts w:asciiTheme="minorHAnsi" w:eastAsiaTheme="minorHAnsi" w:hAnsiTheme="minorHAnsi" w:cstheme="minorBidi"/>
      <w:lang w:val="lv-LV"/>
    </w:rPr>
  </w:style>
  <w:style w:type="character" w:customStyle="1" w:styleId="eop">
    <w:name w:val="eop"/>
    <w:basedOn w:val="DefaultParagraphFont"/>
    <w:rsid w:val="004B18E3"/>
  </w:style>
  <w:style w:type="paragraph" w:customStyle="1" w:styleId="paragraph">
    <w:name w:val="paragraph"/>
    <w:basedOn w:val="Normal"/>
    <w:rsid w:val="004B18E3"/>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Vards.Uzvards@pta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5196</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Madara Vilkriste</dc:creator>
  <cp:lastModifiedBy>Jana Lūsvere</cp:lastModifiedBy>
  <cp:revision>2</cp:revision>
  <dcterms:created xsi:type="dcterms:W3CDTF">2020-11-09T06:44:00Z</dcterms:created>
  <dcterms:modified xsi:type="dcterms:W3CDTF">2020-11-09T06:44:00Z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