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26-TA-1044: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“Sermuļi”, Jeru pagastā, Valmieras novadā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12.05.2026. 14:27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1. punktu, kā arī Meža likuma 44. panta ceturtās daļas 5. punktā noteikto, ka ar ikreizēju Ministru kabineta rīkojumu pieļaujama valsts meža zemes atsavināšana, privatizējot, kā arī atsavinot valstij piederošu būvi vai tās domājamo daļu</w:t>
            </w:r>
            <w:r w:rsidR="00000000" w:rsidRPr="00000000" w:rsidDel="00000000">
              <w:rPr>
                <w:u w:val="single"/>
                <w:rtl w:val="0"/>
              </w:rPr>
              <w:t xml:space="preserve"> kopā ar funkcionāli nepieciešamo zemes gabalu</w:t>
            </w:r>
            <w:r w:rsidR="00000000" w:rsidRPr="00000000" w:rsidDel="00000000">
              <w:rPr>
                <w:rtl w:val="0"/>
              </w:rPr>
              <w:t xml:space="preserve"> vai tā domājamo daļu, kura sastāvā ir valsts meža zeme, lūdzam anotācijā ietvert izvērstāku skaidrojumu, proti, kādēļ tieši konkrētā zemes platība 0,2277 ha platībā uzskatāma par valstij piederošajām būvēm funkcionāli nepieciešamo zemes gabalu, un kādi apstākļi vai dokumenti šādu secinājumu pamato.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26-TA-1044</w:t>
    </w:r>
    <w:r>
      <w:br/>
    </w:r>
    <w:r w:rsidR="00000000" w:rsidRPr="00000000" w:rsidDel="00000000">
      <w:rPr>
        <w:rtl w:val="0"/>
      </w:rPr>
      <w:t xml:space="preserve">29.06.2026. 22.44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26-TA-1044</w:t>
    </w:r>
    <w:r>
      <w:br/>
    </w:r>
    <w:r w:rsidR="00000000" w:rsidRPr="00000000" w:rsidDel="00000000">
      <w:rPr>
        <w:rtl w:val="0"/>
      </w:rPr>
      <w:t xml:space="preserve">29.06.2026. 22.44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Izziņa_26-TA-1044.docx</dc:title>
</cp:coreProperties>
</file>

<file path=docProps/custom.xml><?xml version="1.0" encoding="utf-8"?>
<Properties xmlns="http://schemas.openxmlformats.org/officeDocument/2006/custom-properties" xmlns:vt="http://schemas.openxmlformats.org/officeDocument/2006/docPropsVTypes"/>
</file>