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25-TA-2646: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Emisijas kvotu izsolīšanas instrumenta finansēto projektu atklāta konkursa "Atbalsts bezemisiju un mazemisiju transportlīdzekļu iegādei"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09.04.2026. 18:21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Emisijas kvotu izsolīšanas instrumenta finansēto projektu atklāta konkursa "Atbalsts bezemisiju un mazemisiju transportlīdzekļu iegādei"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savu iebildumu. Ņemot vērā, ka Satiksmes ministrija ir līdzatbildīga NEKP pasākumu mērķu sasniegšanā saistībā ar autotransporta zaļināšanu, ministrija konceptuāli iebilst pret noteikumu projektu esošajā redakcijā, jo atbalsts nav mērķēts uz transportlīdzekļiem ar lielāko nobraukumu gadā jeb lielākajiem piesārņotājiem. Ministrijas ieskatā atbalstam prioritāri ir jābūt mērķētam uz transportlīdzekļiem ar lielu nobraukumu - vismaz 15 000 km/ gadā. Šāds nobraukums privātpersonām būtu jāpierāda, saņemot valsts atbalstu un projekta īstenošanas laikā. Lūdzam precizēt atbalsta saņemšanas nosacījumus un projekta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Satiksmes ministrija uzskata, ka ir nepieciešama atsevišķa atbalsta programma, kas vērsta uz elektrovelosipēdu atbalstu, piemēram, pilsētu kravas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uz būtiskiem trūkumiem noteikumu projekta ietekmes novērtējumā, mērķējot atbalsta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ietvertās metodikas izriet, ka viena transportlīdzekļa radītais SEG emisiju samazinājums tiek aprēķināts pēc formulas CO₂ = nobraukums × 0,130, kas pie nobraukuma sliekšņa 52 000 km atbilst aptuveni 6,76 t CO₂ ietaupījumam uz vienu transportlīdzekli . Vienlaikus, ņemot vērā Satiksmes ministrijas jau iepriekš pausto pozīciju, ka atbalsts prioritāri būtu mērķējams uz transportlīdzekļiem ar lielāku gada nobraukumu (vismaz 15 000 km gadā), aprēķins piecu gadu periodā (75 000 km) liecina par būtiski lielāku emisiju samazinājumu – aptuveni 9,75 t CO₂ jeb par ~44 % vairāk nekā projektā izmantotais pieņēmums.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norāda, ka pašreizējā projekta redakcijā izmantotie pieņēmumi nav balstīti uz efektīvāku emisiju samazinājuma potenciālu. Līdz ar to pastāv risks, ka publiskais finansējums netiek novirzīts uz tiem transportlīdzekļiem un lietotāju segmentiem, kas nodrošina lielāko SEG emisiju samazinājumu uz vienu ieguldīto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Satiksmes ministrija vērš uzmanību uz Valsts kontroles revīzijas "Klimata mērķu sasniegšana transporta nozarē" secinājumiem, ka klimata mērķu sasniegšanai transporta nozarē nepieciešams mērķtiecīgi virzīt ierobežotos publiskos resursus uz pasākumiem ar augstu izmaksu efektivitāti un pierādāmu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Satiksmes ministrija lūdz pārskatīt SEG emisiju samazinājuma aprēķinu pieņēmumus, tostarp izvērtējot scenāriju ar lielāku gada nobraukumu (piemēram, 15 000 km gadā), kas nodrošina būtiski lielāku ietekmi, un precizēt atbalsta piešķiršanas nosacījumus, paredzot mehānismus, kas nodrošina atbalsta mērķēšanu uz transportlīdzekļiem ar lielāku faktisko nobraukumu.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21.04.2026. MK sēdes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apzinās Satiksmes ministrijas likumā noteikto lomu transporta sektora SEG emisiju samazināšanas politikas veidošanā un koordinēšanā, ievērojot Klimatnoturības un ekonomiskās ilgtspējas likuma 5. panta piektās daļas 2. punktā nostiprināto kompetenci un transporta jomas pasākumu un rīcības plānu izstrādi, kas nodrošina nozares siltumnīcefekta gāzu emisiju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21.04.2026. MK sēdes laikā pārrunātajam par atbalsta programmas ietvaros iegādātā transportlīdzekļa nobraukuma palielināšanu (nobraucamā attāluma rādītājs tiek palielināts no “10 400 km/gadā” uz “12 000 km/gadā” jeb no “52 000 km piecu gadu laikā” uz “60 000 km piecu gadu laikā”), Klimata un enerģētikas ministrija ir precizējusi Ministru kabineta noteikumu projektu (pamattekstu) un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MK noteikumu projektā ir skaidri norādīts sasniedzamais rezultāts (26.5.apakšpunkts) un detāli norādīta kārtība par projekta rezultātu sasniegšanu un uzraudzību, tajā skaitā par atgūstamo neattiecināmo līdzekļu apjoma aprēķinu un atgūšanas kārtību (MK noteikumu projekta XII.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21.04.2026. MK sēdes laikā nolemtajam, Klimata un enerģētikas ministrijai sadarbībā ar Satiksmes ministriju jāizstrādā priekšlikumi mikromobilitātes atbalsta pasākumiem un līdz 2026. gada 1. septembrim jāiesniedz tos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ir precizējusi anotācijas 1.3.sadaļu aktualizējot SEG emisiju samazinājuma aprēķinu un tā pieņēmumus.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Emisijas kvotu izsolīšanas instrumenta finansēto projektu atklāta konkursa "Atbalsts bezemisiju un mazemisiju transportlīdzekļu iegādei"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Konkursa mērķis ir veicināt siltumnīcefekta gāzu emisiju (turpmāk – SEG emisijas) samazināšanu, atbalstot tādu transportlīdzekļu ieviešanu Latvijā, kuri pēc savas konstrukcijas: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Elektrotransportlīdzekļu iegādes subsīdijas bieži tiek pozicionētas kā nozīmīgs instruments CO₂ emisiju samazināšanai, taču, salīdzinot ar ieguldījumiem velotransporta attīstībā, īpaši elektrovelosipēdu atbalstā, to ietekme uz vidi un sabiedrību ne vienmēr ir tik tieša un efektīva. Elektrovelosipēdi, īpaši kombinācijā ar sabiedrisko transportu, sniedz tūlītēju un izmērāmu pienesumu CO₂ emisiju samazināšanā, jo tie aizvieto īsos auto braucienus, kas pilsētvidē ir viens no galvenajiem piesārņojuma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elektrovelosipēdu izmantošana veicina gaisa kvalitātes uzlabošanos, samazina trokšņa līmeni un mazina satiksmes sastrēgumus. Vienlaikus tas ir arī būtisks ieguldījums sabiedrības veselībā, jo veicina fiziskās aktivitātes un aktīvāku dzīvesveidu, kas ilgtermiņā samazina veselības aprūpes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elektrovelosipēdu subsīdijas ir relatīvi neliels ieguldījums ar augstu atdevi, jo tās ļauj plašākam iedzīvotāju lokam piekļūt ilgtspējīgam mobilitātes risinājumam. Atšķirībā no elektroautomobiļiem, kuru iegāde joprojām ir dārga un pieejama ierobežotai sabiedrības daļai, elektrovelosipēdi ir pieejamāki un elastīgāk integrējami ikdienas pārvietošanās paradumos.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mērķtiecīgi attīstīt arī atbalsta mehānismus elektrovelosipēdu iegādei, nodrošinot subsīdijas un citus stimulus, kas veicinātu to plašāku izmantošanu. Šāda pieeja sniegtu daudzpusīgu ieguvumu – gan klimata mērķu sasniegšanā, gan pilsētvides kvalitātes uzlabošanā, gan sabiedrības veselības stiprināšanā.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21.04.2026. MK sēdes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apzinās Satiksmes ministrijas likumā noteikto lomu transporta sektora SEG emisiju samazināšanas politikas veidošanā un koordinēšanā, ievērojot Klimatnoturības un ekonomiskās ilgtspējas likuma 5. panta piektās daļas 2. punktā nostiprināto kompetenci un transporta jomas pasākumu un rīcības plānu izstrādi, kas nodrošina nozares siltumnīcefekta gāzu emisiju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21.04.2026. MK sēdes laikā nolemtajam, Klimata un enerģētikas ministrijai sadarbībā ar Satiksmes ministriju jāizstrādā priekšlikumi mikromobilitātes atbalsta pasākumiem un līdz 2026. gada 1. septembrim jāiesniedz tos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Klimata un enerģētikas ministrija iepriekšējā iterācijā ir sniegusi atbildi uz Satiksmes ministrijas 2026. gada 31. martā sniegto iebildumu un atzina, ka viens no risinājumiem emisiju mazināšanai transporta sektorā ir mikromobilitātes (velosipēdu, elektrovelosipēdu) rīku izmantošanas veicināšana. Vienlaikus atbalsts šādu rīku iekļaušanai vieglo transportlīdzekļu atbalsta programmā nav piemērotākais risinājums, raugoties no prasību, kritēriju un procedūru viedokļa. Tādēļ atkārtoti norādām, ka atbalsta sniegšana mikromobilitātes rīku iegādei ministrijas ieskatā veidojama kā jauna un atsevišķa programma, balstoties uz Aktualizētajā enerģētikas un klimata plānā 2021.-2030.  gadam identificētajiem pasākumiem, vienlaikus veidojot sinerģiju ar Latvijas Sociālā klimata fonda plānā 2026.-2032.gadam ietvertajiem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Konkursa mērķis ir veicināt siltumnīcefekta gāzu emisiju (turpmāk – SEG emisijas) samazināšanu, atbalstot tādu transportlīdzekļu ieviešanu Latvijā, kuri pēc savas konstrukcijas: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jaunu rūpnieciski ražotu M1 un N1 kategorijas ūdeņraža automobiļu iegāde, kuru SEG emisijas ir 0 CO</w:t>
            </w:r>
            <w:r w:rsidR="00000000" w:rsidRPr="00000000" w:rsidDel="00000000">
              <w:rPr>
                <w:vertAlign w:val="subscript"/>
                <w:rtl w:val="0"/>
              </w:rPr>
              <w:t xml:space="preserve">2</w:t>
            </w:r>
            <w:r w:rsidR="00000000" w:rsidRPr="00000000" w:rsidDel="00000000">
              <w:rPr>
                <w:rtl w:val="0"/>
              </w:rPr>
              <w:t xml:space="preserve">/km, un kuriem atbilstības apliecinājumā atbilstoši normatīvajam aktam par riteņu transportlīdzekļu un to sastāvdaļu atbilstības novērtēšanu norādītais nobraukums pilsētas apstākļos starp pilnas uzpildes reizēm ir vismaz 150 km un transportlīdzekļu maksimālais ātrums ir vismaz 90 km/h. Ja atbilstības apliecinājumā nav norādīts nobraucamais attālums starp uzpildes reizēm, projekta iesniedzējs, kurš ir transportlīdzekļa izgatavotāja oficiālais pārstāvis, sagatavo un vienlaikus ar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minēto projekta iesniegumu iesniedz Vides investīciju fondā apliecinājumu, ka transportlīdzeklis pilsētas apstākļos starp pilnas uzpildes reizēm spēj nobraukt vismaz 150 km. Šo noteikumu izpratnē ar jaunu rūpnieciski ražotu M1 un N1 kategorijas ūdeņraža automobili saprot automobili, kas ir lietots mazāk par sešiem mēnešiem vai nobraucis mazāk par 6000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aicinājumu svītrot no atbalstāmajām aktivitātēm Nr. 8.3. un 8.4.: ūdeņraža auto; vai ietvert nosacījumu, kā tiks pierādīts, ka transportlīdzekļa ekspluatācijā izmantotais ūdeņradis ir ražots, izmantojot tikai atjaunīgo enerģiju.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sniegtajā skaidrojumā izziņā gan biedrībai, gan Finanšu ministrijai, netiek atbildēts un paskaidrots, kā tiks nodrošināts, ka ar ūdeņradi darbināmais transportlīdzeklis izmantos ūdeņradi, kas ir ražots, izmantojot tikai atjaunīgo enerģiju. Nav pieļaujama situācija, ka ar atbalsta programmas palīdzību iegādāts ūdeņraža auto izmanto no dabasgāzes ražotu ūdeņradi. Taču atbilstoši šī brīža noteikumu versijai tas būtu iespējams, turklāt ar ļoti augstu varbūtību tas tā arī būtu, ņemot vērā zaļā ūdeņraža (ne)pieejamību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saprotama tehnoloģiskās neitralitātes pieeja, tomēr atbalsta programmas mērķis ir emisiju samazinājums, kas ir nepieciešams pēc iespējas ātri. Apstāklis, ka ir bijušas iepriekšējas vienošanās par to, ka  atbalsta programmā nākotnē tiks iekļauts ūdeņraža auto, vai, ka ir ES direktīvas prasības izvietot ūdeņraža uzlādes punktus noteiktos attālumos un noteiktas nozīmes ceļiem, nav pietiekams pamatojums šajā brīdī atbalsta programmā ietvert šīs tehnoloģijas auto, jo senākas apņemšanās nereti izrādās kļūdainas un dzīvē realizēties nespējīgas.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pati Ministrija norāda, ka ar atbalsta programmu iegādāto ūdeņraža auto skaits būtu tuvu "0", kas atkal norāda uz to, ka šajā brīdī atbalsts šāda veida auto iegādei nav nepieciešams, jo nepastāv tehnoloģiskā gatavība, jo sevišķi attiecībā uz zaļā ūdeņraža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ūdeņraža automobiļu iekļaušana atbalsta programmā primāri kalpo kā stratēģiska izvēles iespēja un elastības mehānisms, nevis tūlītējs pienākums. Tas, ka aktivitāte ir iekļauta atbalstāmo darbību sarakstā, neuzliek par pienākumu to īstenot, bet gan nodrošina tiesisko rāmi un plašākas izvēles iespējas brīdī, kad transportlīdzekļa lietotājs saredz tam ekonomisku vai funkcionālu pamatojumu. Šāda pieeja ir balstīta uz tehnoloģiskās neitralitātes principu, kas ir kritiski svarīgs ilgtermiņa plānošanā, lai valsts politika mākslīgi neierobežotu inovāciju ienākšanu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lēmums par ūdeņraža automobiļu iekļaušanu atbalstāmo aktivitāšu tvērumā izriet no jau 2024. gadā izstrādātiem grozījumiem Emisijas kvotu izsolīšanas instrumenta finansēto projektu atklāta konkursa "Siltumnīcefekta gāzu emisijas samazināšana transporta sektorā – atbalsts bezemisiju un mazemisiju transportlīdzekļu iegādei" nolikumā, t.i., grozījumu (apstiprināti MK 17.12.2024.) anotācija paredz, ka Klimata un enerģētikas ministrija sadarbībā ar Satiksmes ministriju izstrādās nepieciešamos grozījumus MK noteikumos un no 2026. gada nodrošināt šādu izvēles iespēju iedzīvotājiem. Ņemot vērā, ka jaunā atbalsta programma ir plānota kā vidēja termiņa instruments līdz 2030. gadam, tās mērķis ir savlaicīgi sagatavot tirgu un sniegt skaidru signālu infrastruktūras attīstītājiem. Šobrīd uzpildes staciju trūkums kavē auto iegādi un otrādi – bez transportlīdzekļiem nav motivācijas investēt infrastruktūrā un "zaļā ūdeņraža" ražošanā. Līdz ar to ministrija apzinās, ka sākotnēji ūdeņraža transportlīdzekļi var netikt darbināti ar "zaļo ūdeņradi", vienlaikus tiks izpildīts nosacījums par vecāka un videi nedraudzīga transportlīdzekļa aizstāšanu ar jaunāku un efektīvāku transportlīdzekli.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ūdeņraža tehnoloģijas piedzīvos līdzīgu attīstības ciklu kā savulaik elektromobiļi – pieaugot ražošanas apjomiem un tehnoloģiju progresam, cenas tirgū samazināsies, un tieši savlaicīga atbalsta instrumenta pieejamība nodrošinās Latvijas spēju sekot šīm globālajām tendencēm, veicinot iedzīvotājiem pieejamu un klimatam draudzīgu transporta ekosistēmu.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jaunu rūpnieciski ražotu M1 un N1 kategorijas ūdeņraža automobiļu iegāde, kuru SEG emisijas ir 0 CO</w:t>
            </w:r>
            <w:r w:rsidR="00000000" w:rsidRPr="00000000" w:rsidDel="00000000">
              <w:rPr>
                <w:vertAlign w:val="subscript"/>
                <w:rtl w:val="0"/>
              </w:rPr>
              <w:t xml:space="preserve">2</w:t>
            </w:r>
            <w:r w:rsidR="00000000" w:rsidRPr="00000000" w:rsidDel="00000000">
              <w:rPr>
                <w:rtl w:val="0"/>
              </w:rPr>
              <w:t xml:space="preserve">/km, un kuriem atbilstības apliecinājumā atbilstoši normatīvajam aktam par riteņu transportlīdzekļu un to sastāvdaļu atbilstības novērtēšanu norādītais nobraukums pilsētas apstākļos starp pilnas uzpildes reizēm ir vismaz 150 km un transportlīdzekļu maksimālais ātrums ir vismaz 90 km/h. Ja atbilstības apliecinājumā nav norādīts nobraucamais attālums starp uzpildes reizēm, projekta iesniedzējs, kurš ir transportlīdzekļa izgatavotāja oficiālais pārstāvis, sagatavo un vienlaikus ar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minēto projekta iesniegumu iesniedz Vides investīciju fondā apliecinājumu, ka transportlīdzeklis pilsētas apstākļos starp pilnas uzpildes reizēm spēj nobraukt vismaz 150 km. Šo noteikumu izpratnē ar jaunu rūpnieciski ražotu M1 un N1 kategorijas ūdeņraža automobili saprot automobili, kas ir lietots mazāk par sešiem mēnešiem vai nobraucis mazāk par 6000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jaunu rūpnieciski ražotu M1 un N1 kategorijas ārēji lādējamu hibrīdauto iegāde, kuru SEG emisijas ir līdz 50 g CO</w:t>
            </w:r>
            <w:r w:rsidR="00000000" w:rsidRPr="00000000" w:rsidDel="00000000">
              <w:rPr>
                <w:vertAlign w:val="subscript"/>
                <w:rtl w:val="0"/>
              </w:rPr>
              <w:t xml:space="preserve">2</w:t>
            </w:r>
            <w:r w:rsidR="00000000" w:rsidRPr="00000000" w:rsidDel="00000000">
              <w:rPr>
                <w:rtl w:val="0"/>
              </w:rPr>
              <w:t xml:space="preserve">/km, un kuriem atbilstības apliecinājumā atbilstoši normatīvajam aktam par riteņu transportlīdzekļu un to sastāvdaļu atbilstības novērtēšanu norādītais nobraukums pilsētas apstākļos tikai ar enerģiju no transportlīdzeklī glabātās elektroenerģijas starp pilnas uzlādes reizēm ir vismaz 50 km un transportlīdzekļu maksimālais ātrums ir vismaz 90 km/h. Ja atbilstības apliecinājumā nav norādīts nobraukums pilsētas apstākļos tikai ar enerģiju no transportlīdzeklī glabātās elektroenerģijas starp pilnas uzlādes reizēm, projekta iesniedzējs, kurš ir transportlīdzekļa izgatavotāja oficiālais pārstāvis, sagatavo un vienlaikus ar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minēto projekta iesniegumu iesniedz Vides investīciju fondā apliecinājumu, ka transportlīdzeklis pilsētas apstākļos tikai ar enerģiju no transportlīdzeklī glabātās elektroenerģijas starp pilnas uzlādes reizēm spēj nobraukt vismaz 50 km. Šo noteikumu izpratnē ar jaunu rūpnieciski ražotu M1 un N1 kategorijas ārēji lādējamu hibrīdauto saprot automobili, kas ir lietots mazāk par sešiem mēnešiem vai nobraucis mazāk par 6000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- 17.04.2026.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08.04.2026. publiskoja lietderības revīziju ziņojumu “Klimata mērķu sasniegšana transporta nozarē”. Revīzijas ziņojumā attiecībā uz valsts atbalstu ārēji lādējamu hibrīdauto iegādei ir norādīts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Revīzijā konstatēts, ka ir veikti novērtējumi par minēto hibrīdauto nepietiekamo ietekmi uz paredzēto emisiju samazināšanas potenciālu un ir valstis, kas pārtraukušas atbalstu šī transportlīdzekļa veida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2024. gadā veikto novērtējumu plug-in hibrīda elektroauto (PHEV) reālās braukšanas apstākļos radītās CO2 emisijas vidēji ir 3,5 reizes augstākas nekā laboratorijas testos noteiktās vērtības. Tas liecina, ka šie transportlīdzekļi pašlaik nerada paredzēto emisiju samazināšanas potenciālu, galvenokārt tādēļ, ka tie netiek pietiekami regulāri uzlādēti un izmantoti pilnībā elektriskajā režīmā, kā tas tiek pieņemts normatīvajos aprēķinos.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Vācijā 2023. gadā tika pārtraukts ārēji lādējamo hibrīdauto iegādes atbalsts, balstoties uz informāciju, ka valsts subsīdijas plug-in hibrīda automašīnu iegādei nepalīdzēja klimata mērķu sasniegšanai, bet tika izmantotas galvenokārt lielu un smagu auto pirkšanai, kuri reti tiek uzlādēti un reti brauc īstā elektriskajā režīmā. Rezultātā šo automašīnu ietekme uz emisiju samazināšanu ir niecīga. Lietuvā un Igaunijā nav pieejams valsts atbalsts ārēji lādējamu hibrīdauto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Satiksmes ministrija revīzijā pauda viedokli, ka ir pievērsusi uzmanību nepieciešamībai izvērtēt ārēji lādējamo hibrīdautomobiļu (plug-in) iegādes atbalsta lietderību, tā apmēru un ietekmi uz noteikto politikas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viena no darbībām revīzijā sniegtā ieteikuma par vienotas un paredzamas elektroauto atbalsta politikas nodrošināšanu ir noteikta esošā atbalsta pamatotības un mērķētības izvērtēšana, tai skaitā attiecībā uz ārēji lādējamu hibrīdauto iegādi. Ieteikuma ieviešanas termiņš 01.06.2027. Atbildīgās ministrijas – Satiksmes ministrija un Klimata un enerģētikas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21.04.2026. MK sēdes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21.04.2026. MK sēdes laikā nolemtajam 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2026. gada 1. jūlijam sagatavos un iesniegs izskatīšanai Ministru kabinetā emisijas kvotu izsoļu ieņēmumu izmantošanas stratēģiju, kurā tiks ietverti prioritārie virzieni izsoļu ieņēmumu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triju mēnešu laikā pēc programmas darbības uzsākšanas veiks izvērtējumu par ārēji lādējamo hibrīdautomobiļu atbalsta lietderību, to izmantošanas profilu, maksimālo nobraukumu, atbalstāmo auto maksimālo vecumu un iesniegt izvērtējuma rezultātus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iedzīvotāju izvēlei par labu ārēji lādējamu hibrīdauto iegādei var būt vairāki iemesli – individuālās vajadzības, braukšanas paradumi, transportlīdzekļa izmantošanas nolūks, vieta un diapazons, uzlādes infrastruktūras pieejamība (ne vien publiskā uzlādes infrastruktūra, bet arī tās pieejamību dzīvesvietās un darbavietās) un tās turpmākā attīstība Latvijā, tādēļ arguments, ka šiem transportlīdzekļiem biežāk kā prognozēts tiek izmantots iekšdedzes dzinējs, kas savukārt rada lielāku degvielas patēriņu un CO</w:t>
            </w:r>
            <w:r w:rsidR="00000000" w:rsidRPr="00000000" w:rsidDel="00000000">
              <w:rPr>
                <w:vertAlign w:val="subscript"/>
                <w:rtl w:val="0"/>
              </w:rPr>
              <w:t xml:space="preserve">2</w:t>
            </w:r>
            <w:r w:rsidR="00000000" w:rsidRPr="00000000" w:rsidDel="00000000">
              <w:rPr>
                <w:rtl w:val="0"/>
              </w:rPr>
              <w:t xml:space="preserve"> emisijas nav korekts. Vienlaikus, ārēji lādējamu hibrīdauto klāsts (modeļi) ir plašāks, it īpaši specifiskiem izmantošanas nolūkiem, un jaunu transportlīdzekļu t.sk. ārēji lādējamu hibrīdauto iegāde veicina Latvijas autoparka vidējā vecuma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datu interpretāciju un argumentētus secinājumus būtu nepieciešams analizēt informāciju lokālā – Latvijas – līmenī, t.sk. ņemot vērā braukšanas attālums, degvielu emisiju faktorus, patērēto degvielas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Inovatīvu produktu un risinājumu ieviešana transportlīdzekļos, tajā skaitā ārēji lādējamu hibrīdauto ražošanā un izmantošanā, notiek strauji, līdz ar to situācija kāda tā bija pirms, piemēram, 3-5 gadiem, kad ir veikti pētījumi, var krasi atšķirties uz 2026. gadā saražotajiem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ārēji lādējamiem hibrīdauto šobrīd tiek saglabāts kā risinājums, lai veicinātu t.sk. gaisa kvalitātes uzlabošanu pilsētās un veicinātu iedzīvotājus pilnīgai pārejai uz elektromobiļu lietošanu ikdienā. Ārēji lādējamiem hibrīdauto kalpo kā būtisks starpposms lietotājiem bez privātas uzlādes infrastruktūras, mazinot bažas par nepietiekamo uzlādes staciju skaitu (piemēram, daudzīvokļu māju iekšpagalmos vai reģionos) un pakāpeniski veidojot elektromobiļu lietošanas paradumus. Kopumā, lai gan reālās emisijas ir atkarīgas no vadītāja rīcības, ārēji lādējamiem hibrīdauto atbalsts nodrošina iekļaujošu un elastīgu pāreju uz ilgtspējīgu transportu plašākai sabiedrības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2025. gadā tika ieviestas stingrākas testēšanas prasības </w:t>
            </w:r>
            <w:r w:rsidR="00000000" w:rsidRPr="00000000" w:rsidDel="00000000">
              <w:rPr>
                <w:i w:val="1"/>
                <w:rtl w:val="0"/>
              </w:rPr>
              <w:t xml:space="preserve">Worldwide Harmonized Light Vehicles Test Procedure</w:t>
            </w:r>
            <w:r w:rsidR="00000000" w:rsidRPr="00000000" w:rsidDel="00000000">
              <w:rPr>
                <w:rtl w:val="0"/>
              </w:rPr>
              <w:t xml:space="preserve"> (WTLP), ko izmanto, lai noteiktu automobiļu degvielas patēriņu, CO</w:t>
            </w:r>
            <w:r w:rsidR="00000000" w:rsidRPr="00000000" w:rsidDel="00000000">
              <w:rPr>
                <w:vertAlign w:val="subscript"/>
                <w:rtl w:val="0"/>
              </w:rPr>
              <w:t xml:space="preserve">2</w:t>
            </w:r>
            <w:r w:rsidR="00000000" w:rsidRPr="00000000" w:rsidDel="00000000">
              <w:rPr>
                <w:rtl w:val="0"/>
              </w:rPr>
              <w:t xml:space="preserve"> emisijas un elektrisko nobraukumu, kas faktiski nozīmē ārēji lādējamu hibrīdauto stingrāku uzraudzību attiecībā uz uzstādītu iekšdedzes dzinēju, kura kopējās SEG emisijas ir līdz 50 g CO</w:t>
            </w:r>
            <w:r w:rsidR="00000000" w:rsidRPr="00000000" w:rsidDel="00000000">
              <w:rPr>
                <w:vertAlign w:val="subscript"/>
                <w:rtl w:val="0"/>
              </w:rPr>
              <w:t xml:space="preserve">2</w:t>
            </w:r>
            <w:r w:rsidR="00000000" w:rsidRPr="00000000" w:rsidDel="00000000">
              <w:rPr>
                <w:rtl w:val="0"/>
              </w:rPr>
              <w:t xml:space="preserve">/km. WLTP jaunie noteikumi būtiski maina ārēji lādējamu hibrīdauto emisiju novērtēšanu un pēc 2025.–2027. gada  testēšanas metodikas daudzi ārēji lādējamo hibrīdauto vairs varētu neiekļauties šajā kategorijā. Tas savukārt nosaka, ka arī atbalsta programmas ietvaros finansējums tiks piešķirts efektīvāku ārēji lādējamu hibrīdauto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ir noteikts vienāds atbalsta apmērs gan jaunā elektromobiļa, gan jaunā ārēji lādējamiem hibrīdauto iegādei, ar ko tiek sasniegts mērķis - mazināt kopējās emisijas un veicināt Latvijas autoparka vecuma mazināšanos. Vienāds atbalsta apmērs nav vērtējams kā ārēji lādējamiem hibrīdauto un elektromobiļa tehnoloģiskā ekvivalence, bet gan kā finansiālais instruments ātrākai autoparka dekarbonizācijai, aptverot pēc iespējas lielāku lietotāju skaitu pašreizējos infrastruktūras attīstības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līdzšinējo pieredzi atbalsta programmā “Siltumnīcefekta gāzu emisijas samazināšana transporta sektorā – atbalsts bezemisiju un mazemisiju transportlīdzekļu iegādei” var secināt, ka ārēji lādējamie hibrīdauto ir dārgāki nekā elektromobiļi: attiecīgi 35 995 EUR (bez PVN; bāzes komplektācija) un 40 018 EUR (bez PVN; bāzes komplektācija).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līdzšinējās atbalsta programmas ietvaros ārēji lādējamu hibrīdauto iegāde veidoja 26% no konkursa ietvaros kopā atbalstīto transportlīdzekļu skaita, kas parāda, ka iedzīvotāji pamatā jau šobrīd prioritizē tieši elektromobiļu iegādi.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jaunu rūpnieciski ražotu M1 un N1 kategorijas ārēji lādējamu hibrīdauto iegāde, kuru SEG emisijas ir līdz 50 g CO</w:t>
            </w:r>
            <w:r w:rsidR="00000000" w:rsidRPr="00000000" w:rsidDel="00000000">
              <w:rPr>
                <w:vertAlign w:val="subscript"/>
                <w:rtl w:val="0"/>
              </w:rPr>
              <w:t xml:space="preserve">2</w:t>
            </w:r>
            <w:r w:rsidR="00000000" w:rsidRPr="00000000" w:rsidDel="00000000">
              <w:rPr>
                <w:rtl w:val="0"/>
              </w:rPr>
              <w:t xml:space="preserve">/km, un kuriem atbilstības apliecinājumā atbilstoši normatīvajam aktam par riteņu transportlīdzekļu un to sastāvdaļu atbilstības novērtēšanu norādītais nobraukums pilsētas apstākļos tikai ar enerģiju no transportlīdzeklī glabātās elektroenerģijas starp pilnas uzlādes reizēm ir vismaz 50 km un transportlīdzekļu maksimālais ātrums ir vismaz 90 km/h. Ja atbilstības apliecinājumā nav norādīts nobraukums pilsētas apstākļos tikai ar enerģiju no transportlīdzeklī glabātās elektroenerģijas starp pilnas uzlādes reizēm, projekta iesniedzējs, kurš ir transportlīdzekļa izgatavotāja oficiālais pārstāvis, sagatavo un vienlaikus ar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minēto projekta iesniegumu iesniedz Vides investīciju fondā apliecinājumu, ka transportlīdzeklis pilsētas apstākļos tikai ar enerģiju no transportlīdzeklī glabātās elektroenerģijas starp pilnas uzlādes reizēm spēj nobraukt vismaz 50 km. Šo noteikumu izpratnē ar jaunu rūpnieciski ražotu M1 un N1 kategorijas ārēji lādējamu hibrīdauto saprot automobili, kas ir lietots mazāk par sešiem mēnešiem vai nobraucis mazāk par 6000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 atbalsta saņēmējs vismaz piecus gadus pēc transportlīdzekļa iegādes datuma vai kamēr ar to veikts vismaz 52 000 km nobraukums neizmanto konkursa ietvaros iegādāto transportlīdzekli saimnieciskās darbības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paredz, ka ar atbalstu iegādāto transportlīdzekli nedrīkst izmantot saimnieciskajā darbībā vismaz piecus gadus vai kamēr tiek sasniegts nobraukums 52 000 km, tādējādi nodrošinot, ka nav jāpiemēro komercdarbības atbalsta kontroles nosacījumi. Iepriekš spēkā esošajā programmā 52 000 km nosacījums bija attiecināms tikai uz monitoringu un iespēju atsavināt automobili, nevis saimnieciskās darbības veikšanas ierobežojumu. Savukārt ar šo MK noteikumu projektu ir paredzēts, ka saimnieciskās darbības ierobežojums tiek atcelts, ja tiek sasniegts transportlīdzekļa nobraukums 52 000 km attālumā. Skaidrojam, ka gadījumā, ja transportlīdzeklis, kas vēl nav noamortizējies (saskaņā ar programmas noteikto, tas ir 5 gadu periods), tiek izmantots saimnieciskās darbības veikšanai, tas var kvalificēties kā komercdarbības atbalsts. Ņemot vērā šādu aspektu, lai novērstu komercdarbības atbalsta sniegšanas risku, aicinām precizēt MK noteikumu 26.8.apakšpunkta nosacījumu, dzēšot vārdus “vai kamēr ar to veikts vismaz 52 000 km nobraukums” un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attiecīgajā punktā tika veikts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 atbalsta saņēmējs vismaz piecus gadus pēc transportlīdzekļa iegādes datuma neizmanto konkursa ietvaros iegādāto transportlīdzekli saimnieciskās darbības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detalizētu izmaksu efektivitātes izvērtējumu, salīdzinot dažādus atbalsta scenārijus, tostarp uz 75 000 km nobraukumu un to ietekmi uz SEG emisiju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21.04.2026. MK sēdes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apzinās Satiksmes ministrijas likumā noteikto lomu transporta sektora SEG emisiju samazināšanas politikas veidošanā un koordinēšanā, ievērojot Klimatnoturības un ekonomiskās ilgtspējas likuma 5. panta piektās daļas 2. punktā nostiprināto kompetenci un transporta jomas pasākumu un rīcības plānu izstrādi, kas nodrošina nozares siltumnīcefekta gāzu emisiju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21.04.2026. MK sēdes laikā pārrunātajam par atbalsta programmas ietvaros iegādātā transportlīdzekļa nobraukuma palielināšanu (nobraucamā attāluma rādītājs tiek palielināts no “10 400 km/gadā” uz “12 000 km/gadā” jeb no “52 000 km piecu gadu laikā” uz “60 000 km piecu gadu laikā”), Klimata un enerģētikas ministrija ir precizējusi Ministru kabineta noteikumu projektu (pamattekstu) un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ir precizējusi anotācijas 1.3.sadaļu aktualizējot SEG emisiju samazinājuma aprēķinu un tā pieņēmumus.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izstrādājot MK noteikumu projektu ministrija ir ņēmusi vērā pieredzi no EKII atbalsta programmas "Siltumnīcefekta gāzu emisijas samazināšana transporta sektorā – atbalsts bezemisiju un mazemisiju transportlīdzekļu iegādei" ieviešanas. Vienlaikus, ņemot vērā ģeopolitiskos apstākļus un sabiedrības augsto interesi par atbalsta iespējām videi draudzīgu transportlīdzekļu iegādei pēc iespējas ātrākā periodā, ministrija nav veikusi detalizētu izmaksu efektivitātes izvērtējumu salīdzinot dažādus atbalsta scenārijus, tostarp uz 75 000 km nobraukumu un to ietekmi uz SEG emisiju samazinājumu. Norādām, ka arī sabiedrības interese šajā periodā, kad izdevumi par degvielas (benzīna un jo īpaši dīzeļdegvielas) iegādi ir būtiski pieauguši, savukārt citi ieviestie mehānismi izmaksu samazināšanai nedod gaidīto rezultātu, ir ievērojami pieaugusi un tiek meklēti alternatīvi risinājumi izmaksu samazināšanai, tostarp vērtēta iespēja iegādāties videi draudzīgus transportlīdzekļus.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tika veikts precizējums, kā tika veikts aprēķins, kas pamato nepieciešamību atbalsta programmai 40 000 000 EUR apmērā, tomēr aprēķinos nav ņemts vērā, ka cilvēki arī bez atbalsta iegādāsies bezemesiju transportlīdzekli un atbalsts tiek sniegts arī PHEV transportlīdzekļiem, kas iepriekš veidoja būtisku īpatsvaru no atbalstāmo transportlīdzekļu skaita. Arī rezultātu aprēķināšanā (CO2 ietaupījuma un efektivitātes) ir pieņemts, ka tiks iegādāti tikai  bezemisiju transportlīdzekļi.  Lūdzam no atbalsta programmas izņemt ārā PHEV transportlīdzekļus, lai aprēķini būtu korekti vai izlabot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Neapšaubām, ka PHEV iegāde uzrāda CO2 emisiju samazinājumu salīdzinājumā ar transportlīdzekļiem, kuri aprīkoti tikai ar iekšdedzes dzinējiem. Taču norādām, ka a) NEKP 3.1.1.7. pasākums (uz kura balstīts nepieciešamais finansējuma apmērs) paredz tikai bezemisiju transportlīdzekļu iegādi, b) anotācijā norādīts, ka pasākuma efektivitāte ārēji lādējamu hibrīdauto iegādei ir ievērojami zemāka nekā elektromobiļu iegādei, savukārt PHEV atbalstam novirzītā finansējuma dēļ, vairāki potenciālie elektromobiļu pircēji nevarēja saņemt atbalstu c) Arī OECD (https://www.itf-oecd.org/sites/default/files/repositories/how_can_electric_vehicle_subsidies_be_made_fairer_and_more_efficient.pdf) norāda, lai panāktu maksimālu emisiju samazinājumu, subsīdijām jābūt vērstām uz nulles emisiju transportlīdzekļiem, nevis hibrīdi elektrotransportlīdzekļiem, d) anotācijā minētajā Eiropas Auto ražotāju asociācijas 2025. gada 3. aprīļa ziņojuma “Elektriskie transportlīdzekļi: nodokļu ieguvumi un iegādes stimuli" norādīts, ka līdzīgu atbalstu iedzīvotājiem sniedz vien 4 valstis, kas parāda arī citu valstu izvairīšanos no šāda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21.04.2026. MK sēdes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21.04.2026. MK sēdes laikā nolemtajam, 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2026. gada 1. jūlijam sagatavos un iesniegs izskatīšanai Ministru kabinetā emisijas kvotu izsoļu ieņēmumu izmantošanas stratēģiju, kurā tiks ietverti prioritārie virzieni izsoļu ieņēmumu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triju mēnešu laikā pēc programmas darbības uzsākšanas veiks izvērtējumu par ārēji lādējamo hibrīdautomobiļu atbalsta lietderību, to izmantošanas profilu, maksimālo nobraukumu, atbalstāmo auto maksimālo vecumu un iesniegt izvērtējuma rezultātus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1.3.sadļā veiktie aprēķini ir pamatoti ar konkrētajiem pieņēmumiem un neietver visus iespējamos risinājumus, kādi varētu rasties atbalsta programmas darbības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primārais mērķis ir veicināt videi draudzīgu mobilitāti un aprēķinos izmantotie pieņēmumi atspoguļo vēlamo politikas rezultātu - pēc iespējas plašāku transportlīdzekļu, kuri aprīkoti ar iekšdedzes dzinējiem, aizstāšanu ar bezemisiju transportlīdzekļiem. Vienlaikus ārēji lādējamu hibrīdauto iekļaušana atbalsta programmas tvērumā ir pārejas risinājums, kas ļauj paplašināt mērķauditoriju un iepazīstināt transportlīdzekļu lietotājus ar transportlīdzekļa, kurā par mehānisko dzinējspēku izmanto enerģiju no transportlīdzeklī glabātās elektroenerģijas, sniegtajām priekšrocībām.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atsauce uz citu valstu īstenoto praksi nevar būt par pietiekamu pamatojumu ārēji lādējamu hibrīdauto izslēgšanai no atbalsta programmas tvēruma. Katrai valstij ir jāizvēlas tai piemērotākais instrumentu kopums, ņemot vērā nacionālos apstākļus, infrastruktūras attīstības līmeni un sabiedrības gatavību pārmaiņām. Atbalsta instrumentu dizains dažādās valstīs būtiski atšķiras, un to salīdzināšana bez detalizēta konteksta var novest pie nepamatotiem secinājumiem.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datu interpretāciju un argumentētus secinājumus, būtu nepieciešams analizēt informāciju Latvijas līmenī, t.sk., ņemot vērā braukšanas attālumus, degvielu emisiju faktorus, patērēto degvielas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ka nav pamatojuma sasteigt finansējuma izlietošanu pirms informatīvā ziņojuma par emisijas kvotu izsoļu ieņēmumu izmantošanas stratēģiju apstiprināšanas MK, lai finansējums tiktu novirzīts pēc iespējas efektīvāk un saskaņā ar iepriekš minēto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KPMG pētījumā nav ņemti vērā vairāki pasākumi lauksaimniecības un ZIZIMM sektoros ar potenciāli augstu efektivitāti. Pamatojoties uz FEI pētījumu, atsevišķos pasākumos, piemēram, "Minimālā augsnes apstrāde, bezaršanas tehnoloģijas", "Precīza minerālmēslu izkliedēšana", "Barības kvalitātes uzlabošana", "Barības devu plānošana" dzīves ciklā ietaupījumi ir lielāki par nepieciešamajām investīcijām un atbalsta pasākumus varētu īstenot ar aizdevumiem, kas no publiskā finansējuma ziņas varētu būt efektīvāk. Arī KPMG pētījumā 8.5. sadaļā ir norādīti vairāki pasākumi, kuri ir ekonomiski pamatojami un tika izslēgti tieši šī iemesla dēļ. KPMG pētījumā ir pieminēts, ka aizdevumu atbalsta veids varētu veicināt augstākas kvalitātes aktivitāšu īstenošanu, kā arī katrs eiro no publiskā finansējuma ilgtermiņā varētu finansēt vairākus projektu ciklus un radīt kumulatīvu ietekmi uz klimata mērķu sasniegšanu. Lai arī KPMG pētījumā ir izvērtēta VIF atbilstība šāda atbalsta sniegšanai (neatbilst), neredzam, ka būtu izvērtēta citu iestāžu potenciālā iesaiste, kuras juridiski atbilstu šī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FEI analizēto pasākumu, kā "Mērķtiecīga organisko augšņu apmežošana LIZ", "mazāk vērtīgo LIZ platībās ar minerālaugsnēm apmežošana", "Agromežsaimniecības pasākumi lauksaimniecībā izmantojamās zemēs – kokaugu grupu vai atsevišķu koku stādīšana ganībās", "Meža hidrotehniskā meliorācija slapjaiņos un purvaiņos", "Dabisko traucējumu bojāto mežaudžu mērķtiecīga atjaunošana", "Koksnes pelnu atgriešana mežā koku augšanas apstākļu uzlabošanai kūdreņos un āreņos", "Minerālmēslojuma izmantošana koku augšanas apstākļu uzlabošanai sausieņos un āreņos", "Atbalsts jaunaudžu kopšanas cirtēm", "Vienlaidus ātraudzīgu kokaugu stādījumu ierīkošana kokmateriālu un biokurināmā ieguvei", "Kokaugu joslu stādījumu ierīkošana gar meliorācijas sistēmām LIZ" efektivitāte ir ļoti augsta un pasākumus varētu īstenot ar minimālām subsīdijām, papildus nodrošinot aizdevuma iespējas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elektromobiļu atbalsts ieņem 10. vietu KPMG pētījuma efektivitātes vērtējumā, taču neiekļaujot vēl virkni iepriekš minēto pasākumu, kas varētu būt efektīvāki. Turklāt šajā atbalsta programmā ir plānots atbalstīt arī PHEV, kuru atbalsta efektivitāte ir vēl zemāka, iepriekšējās atbalsta programmās, veidojot nozīmīgu īpatsvaru no saņemtā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KPMG pētījumā arī teikts, ka atbalsts būtu jāsniedz ar mērķi panākt ekonomisko paritāti. Šobrīd nav vērtēts, kāds ir nepieciešams finansējums ekonomiskās paritātes sasniegšanai. Tas nozīmē, ka potenciāli šobrīd paredzētais atbalsta apmērs var pārsniegt nepieciešamo finansējumu ekonomiskās paritātes sasniegšanai, tādējādi padarot potenciālo publisko finansējumu atbalsta sniegšanai mazāk efektīvu.  Norādām, ka šī brīža ģeopolitiskā situācija veicina elektromobiļus izdevīgumu pret iekšdedzes dzinēju automašīnām, kas palielinās pieprasījumu un samazinās arī nepieciešamo finansējumu ekonomiskās paritātes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fakti tikai apstiprina risku un nepieciešamību sagaidīt stratēģijas kvalitatīvu izstrādi, lai nodrošinātu finansējuma efektīvu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21.04.2026. MK sēdes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21.04.2026. MK sēdes laikā nolemtajam, Klimata un enerģētikas ministrija līdz 2026. gada 1. jūlijam sagatavos un iesniegs izskatīšanai Ministru kabinetā emisijas kvotu izsoļu ieņēmumu izmantošanas stratēģiju, kurā tiks ietverti prioritārie virzieni izsoļu ieņēmumu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apzinās Metodikas klimata pārmaiņu mazināšanas pasākumu sagatavošanai un izmaksu efektivitātes izvērtējumam un Emisijas kvotu izsolīšanas ieņēmumu izmantošanas stratēģijas būtisko lomu klimata finanšu instrumentu darbības nodrošināšanā. Atkārtoti vēršam uzmanību, ka Ministrija veic minēto dokumentu sagatavošanu, ņemot vērā gan NEKP ietvertos pasākumus, gan Klimatnoturības un ekonomiskās ilgtspējas likumā noteiktos finansējuma izmantošanas virzienus, gan Valsts kontroles lietderības revīzijās veiktos konstatējumus un sniegtos priekšlikumus, kā arī 2025. gada nogalē KPMG veiktā pētījuma "Emisijas kvotu izsolīšanas instrumenta klimata pārmaiņu mazināšanas pasākumi un pasākumu izvērtēšanas metodika"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 norāda, ka finansējuma piešķiršana neparedz visa Emisijas kvotu izsolīšanas instrumenta ietvaros pieejamā finansējuma izlietošanu, un tā piešķiršana atbalsta programmā ietvertajām aktivitātēm pašreizējos apstākļos vērtējama kā pamatota.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jāņem vērā, ka KPMG pētījumā norādītie un šobrīd EKII ietvaros identificētie pasākumi (atbalsta programmas) tiek izstrādāti, ņemot vērā NEKP identificētos pasākumus, t.i., NEKP neparedz EKII finansējuma novirzīšanu lauksaimniecības un ZIZIMM sektora SEG emisiju samazināšanas vai CO</w:t>
            </w:r>
            <w:r w:rsidR="00000000" w:rsidRPr="00000000" w:rsidDel="00000000">
              <w:rPr>
                <w:vertAlign w:val="subscript"/>
                <w:rtl w:val="0"/>
              </w:rPr>
              <w:t xml:space="preserve">2</w:t>
            </w:r>
            <w:r w:rsidR="00000000" w:rsidRPr="00000000" w:rsidDel="00000000">
              <w:rPr>
                <w:rtl w:val="0"/>
              </w:rPr>
              <w:t xml:space="preserve"> piesaistes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Emisijas kvotu izsolīšanas instrumenta (turpmāk – finanšu instruments) finansēto projektu atklāta konkursa "Atbalsts bezemisiju un mazemisiju transportlīdzekļu iegādei" (turpmāk – konkurss) nolikumu, ietverot projektu iesniegumu vērtēšanas kritērijus, komercdarbības atbalsta piešķiršanas nosacījumus, projektu iesniegumu iesniegšanas, izskatīšanas, apstiprināšanas un finansējuma piešķiršanas kārtību, projektu īstenošanas kārtību, pārskatu iesniegšanas un pārbaudes kārtību, kā arī neattiecināmo finanšu instrumentu līdzekļu atgūšanas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MK noteikumu ietvaros piešķirtais atbalsts nav kvalificējams kā komercdarbības atbalsts Komercdarbības atbalsta kontroles likuma 5.panta izpratnē un līdz ar to komercdarbības atbalsta piešķiršana nav paredzēta, lūdzam svītrot no noteikumu 1.punkta vārdus “komercdarbības atbalsta piešķiršanas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atsauce uz komercdarbības atbalsta piešķiršanas nosacījumiem ietverta 1. punktā, ņemot vērā Tieslietu ministrijas iebildumu, kas nosaka nepieciešamību skaidri un precīzi atrunāt likumā noteikto deleģējumu.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Emisijas kvotu izsolīšanas instrumenta (turpmāk – finanšu instruments) finansēto projektu atklāta konkursa "Atbalsts bezemisiju un mazemisiju transportlīdzekļu iegādei" (turpmāk – konkurss) nolikumu, ietverot projektu iesniegumu vērtēšanas kritērijus, komercdarbības atbalsta piešķiršanas nosacījumus, projektu iesniegumu iesniegšanas, izskatīšanas, apstiprināšanas un finansējuma piešķiršanas kārtību, projektu īstenošanas kārtību, pārskatu iesniegšanas un pārbaudes kārtību, kā arī neattiecināmo Emisijas kvotu izsolīšanas instrumenta līdzekļu atgūšanas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Konkursa ietvaros pieļaujamā atbalsta intensitāte nepārsniedz 90 % no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un </w:t>
            </w:r>
            <w:r w:rsidR="00000000" w:rsidRPr="00000000" w:rsidDel="00000000">
              <w:rPr>
                <w:rtl w:val="0"/>
              </w:rPr>
              <w:t xml:space="preserve">8.5. </w:t>
            </w:r>
            <w:r w:rsidR="00000000" w:rsidRPr="00000000" w:rsidDel="00000000">
              <w:rPr>
                <w:rtl w:val="0"/>
              </w:rPr>
              <w:t xml:space="preserve">apakšpunktā</w:t>
            </w:r>
            <w:r w:rsidR="00000000" w:rsidRPr="00000000" w:rsidDel="00000000">
              <w:rPr>
                <w:rtl w:val="0"/>
              </w:rPr>
              <w:t xml:space="preserve"> minētā transportlīdzekļa pārdošanas cenas, nepārsniedzot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noteikto maksimālo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saskaņos noteikumu 19 punktu , ja   pašreizējais atbalsta apjoms tiek noteikts  kā pārejas risinājums, ņemot vērā publiskā finansējuma ierobežojumus un nepieciešamību nodrošināt izmaksu efektivitāti. Vienlaikus LPS uzsver, ka ilgtermiņā būs nepieciešams izvērtēt atbalsta griestu atbilstību faktiskajām transportlīdzekļu iegādes izmaksām un tirgus attīstībai, lai nodrošinātu pietiekamu stimulu emisiju samazināšanai visā valsts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noteiktais atbalsta apmērs pamata gadījumos tiks saglabāts esošajā apmērā, vienlaikus ministrija izvērtēs iespēju paaugstinātu atbalsta noteikt arī citām mērķgrupām, ņemot vērā faktiskās transportlīdzekļu iegādes izmaksas. Apzināmies, ka transportlīdzekļu iegādes sākotnējās izmaksas var būt augstas, tomēr paaugstināt atbalsta likmi visiem iedzīvotājiem nav pamatoti.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Konkursa ietvaros pieļaujamā atbalsta intensitāte nepārsniedz 90 % no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un </w:t>
            </w:r>
            <w:r w:rsidR="00000000" w:rsidRPr="00000000" w:rsidDel="00000000">
              <w:rPr>
                <w:rtl w:val="0"/>
              </w:rPr>
              <w:t xml:space="preserve">8.5. </w:t>
            </w:r>
            <w:r w:rsidR="00000000" w:rsidRPr="00000000" w:rsidDel="00000000">
              <w:rPr>
                <w:rtl w:val="0"/>
              </w:rPr>
              <w:t xml:space="preserve">apakšpunktā</w:t>
            </w:r>
            <w:r w:rsidR="00000000" w:rsidRPr="00000000" w:rsidDel="00000000">
              <w:rPr>
                <w:rtl w:val="0"/>
              </w:rPr>
              <w:t xml:space="preserve"> minētā transportlīdzekļa pārdošanas cenas, nepārsniedzot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noteikto maksimālo atbalsta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šo noteikumu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8.4. </w:t>
            </w:r>
            <w:r w:rsidR="00000000" w:rsidRPr="00000000" w:rsidDel="00000000">
              <w:rPr>
                <w:rtl w:val="0"/>
              </w:rPr>
              <w:t xml:space="preserve">apakšpunktā</w:t>
            </w:r>
            <w:r w:rsidR="00000000" w:rsidRPr="00000000" w:rsidDel="00000000">
              <w:rPr>
                <w:rtl w:val="0"/>
              </w:rPr>
              <w:t xml:space="preserve"> minētajā aktivitātē transportlīdzeklis nav reģistrēts Latvijā ilgāk par 12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("AUTO ASOCIĀCIJA"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Auto asociācija konceptuāli atbalsta noteikumu projektu, bet iebilst pret noteikumu projekta 23.5. punktu un lūdz to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izdots saskaņā ar Klimatnoturības un ekonomiskās ilgtspējas likuma 15. panta astotās daļas 2. punktu, savukārt minētā likuma 14. panta pirmās daļas 1. punkta “b” apakšpunkts paredz, ka Emisijas kvotu izsolīšanas instrumenta (turpmāk – EKII) finansējumu izmanto pasākumiem, lai pārietu uz zemu un nulles siltumnīcefekta gāzu emisiju transportlīdzekļu un sabiedriskā transporta plašāku izmantošanu. Arī noteikumu projekta 2. punkts konkursa mērķi definē kā siltumnīcefekta gāzu emisiju samazināšanas veicināšanu, atbalstot attiecīgo transportlīdzekļu ieviešanu Latvijā. Līdz ar to atbalsta piešķiršanas kritērijiem jābūt tieši un objektīvi saistītiem ar bezemisiju transportlīdzekļu faktiskas izmantošanas paplašināšanu, nevis ar formālu vienību skaita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23.5. punkts paredz, ka lietots transportlīdzeklis atbalsta saņemšanai nedrīkst būt reģistrēts Latvijā ilgāk par 12 mēnešiem. Šāds kritērijs nav saistīts ar konkursa un EKII finansējuma izmantošanas mērķi, jo transportlīdzekļa agrāka vai vēlāka reģistrācija Latvijā pati par sevi neietekmē ne tā radītās emisijas, ne tehnisko atbilstību, ne ieguldījumu bezemisiju transportlīdzekļu plašākā izmantošanā. Pretēji tam šāds nosacījums var nepamatoti sašaurināt lietotu bezemisiju transportlīdzekļu pieejamību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likuma 14.</w:t>
            </w:r>
            <w:r w:rsidR="00000000" w:rsidRPr="00000000" w:rsidDel="00000000">
              <w:rPr>
                <w:vertAlign w:val="superscript"/>
                <w:rtl w:val="0"/>
              </w:rPr>
              <w:t xml:space="preserve">1</w:t>
            </w:r>
            <w:r w:rsidR="00000000" w:rsidRPr="00000000" w:rsidDel="00000000">
              <w:rPr>
                <w:rtl w:val="0"/>
              </w:rPr>
              <w:t xml:space="preserve"> panta pirmās daļas 1. punkts noteic, ka tiešās pārvaldes un pastarpinātās pārvaldes iestādei, kā arī kapitālsabiedrībai, kurā publiskai personai ir izšķiroša ietekme, aizliegts ar savu darbību kavēt, ierobežot vai deformēt konkurenci, kas var izpausties arī kā tirgus dalībnieku diskriminācija, radot atšķirīgus konkurences apstākļus. Noteikumu projekta 23.5. punkts rada šādus atšķirīgus konkurences apstākļus lietotu elektroautomobiļu tirgū, jo tas nostāda nelabvēlīgākā situācijā tos tirgotājus, kuri pārdod Latvijā jau reģistrētus elektroautomobiļus, salīdzinājumā ar tirgotājiem, kuri piedāvā importētus vai nesen Latvijā reģistrētus elektroautomobiļus. Šī atšķirīgā attieksme izpaužas cenu konkurencē, proti, uz importētiem vai nesen reģistrētiem lietotiem elektroautomobiļiem var attiecināt EKII atbalstu un attiecīgi šā atbalsta ekonomisko efektu var iestrādāt gala pārdošanas cenā, piedāvājot pircējam zemāku faktisko iegādes cenu. Savukārt tirgotāji, kuri pārdod Latvijā ilgāk par 12 mēnešiem reģistrētus elektroautomobiļus, šādu iespēju zaudē, kaut arī to pārdotie transportlīdzekļi pēc būtības var būt salīdzināmi ar importētajiem transportlīdzekļiem vecuma, nobraukuma, tehniskā stāvokļa un klimata mērķa sasniegšanas ziņā. Līdz ar to 23.5. punkts nevis neitrāli nosaka vispārīgu atbalsta pieejamības kritēriju, bet faktiski piešķir konkurences priekšrocību konkrētam tirgus segmentam — importēto lietoto elektroautomobiļu segmentam. Šāda priekšrocība nav balstīta uz objektīvām atšķirībām, kas būtu tieši saistītas ar EKII programmas mērķi samazināt siltumnīcefekta gāzu emisijas, bet gan uz formālu kritēriju par iepriekšējās reģistrācijas ilgumu Latvijā. Tādēļ 23.5. punkts rada konkurences deformāciju un ir vērtējams kā neatbilstošs Konkurences likuma 14.</w:t>
            </w:r>
            <w:r w:rsidR="00000000" w:rsidRPr="00000000" w:rsidDel="00000000">
              <w:rPr>
                <w:vertAlign w:val="superscript"/>
                <w:rtl w:val="0"/>
              </w:rPr>
              <w:t xml:space="preserve">1</w:t>
            </w:r>
            <w:r w:rsidR="00000000" w:rsidRPr="00000000" w:rsidDel="00000000">
              <w:rPr>
                <w:rtl w:val="0"/>
              </w:rPr>
              <w:t xml:space="preserve"> panta pirmās daļas 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Transportlīdzekļa ekspluatācijas nodokļa un uzņēmumu vieglo transportlīdzekļu nodokļa likuma 14. panta pirmās daļas 3. punkts un 1.</w:t>
            </w:r>
            <w:r w:rsidR="00000000" w:rsidRPr="00000000" w:rsidDel="00000000">
              <w:rPr>
                <w:vertAlign w:val="superscript"/>
                <w:rtl w:val="0"/>
              </w:rPr>
              <w:t xml:space="preserve">1</w:t>
            </w:r>
            <w:r w:rsidR="00000000" w:rsidRPr="00000000" w:rsidDel="00000000">
              <w:rPr>
                <w:rtl w:val="0"/>
              </w:rPr>
              <w:t xml:space="preserve"> daļa demonstrācijas transportlīdzekļus atzīst par atsevišķu, tiesiski identificējamu kategoriju, turklāt paredzot, ka tie ir jauni transportlīdzekļi, kas lietoti mazāk par sešiem mēnešiem vai nobraukuši mazāk par 6000 kilometriem un tiek izmantoti izmēģinājumu braucieniem, lai veicinātu jaunu automobiļu pārdošanu. Arī Uzņēmumu ienākuma nodokļa likuma 1. panta septiņpadsmitās daļas 1. punkts un Pievienotās vērtības nodokļa likuma 1. panta 9. punkta “a” apakšpunkts izmanto to pašu pieeju attiecībā uz demonstrācijas automobiļiem un jauna transportlīdzekļa izpratni. Valsts ieņēmumu dienesta metodiskajā materiālā ir skaidrots, ka transportlīdzeklis ir uzskatāms par jaunu, ja izpildās vismaz viens no kritērijiem attiecībā uz lietošanas ilgumu vai nobraukumu, piemēram, transportlīdzeklis, kas lietots vairāk kā 6 mēnešus un nobraucis mazāk par 6000 km joprojām tiek uzskatīts par jaunu transportlīdzekli un joprojām var tikt uzskatīts par demonstrācijas automobili. Līdz ar to iespējama situācija, ka transportlīdzeklis joprojām kvalificējas kā jauns pēc Pievienotās vērtības nodokļa likuma un pēc noteikumu projekta 8.1. punkta, taču vienlaikus vairs nekvalificējas EKII atbalstam tikai tādēļ, ka pārdošanas brīdī ir pārsniegts noteikumu projekta 23.5. punktā paredzētais 12 mēnešu reģistrācijas termiņš Latvijā. Tas rada nevajadzīgu interpretācijas un piemērošanas kolīziju paša regulējuma ietvarā. Papildus norādāms, ka atbilstoši Valsts akciju sabiedrība "Ceļu satiksmes drošības direkcija" sniegtajai informācijai, 2026. gada 15. aprīlī Latvijā reģistrēti 416 demonstrācijas automobiļi, no kuriem 84 bija elektromobiļi, kas veido vairāk kā 20 % no kopējā demonstrācijas automobiļu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Analogs efekts ir operatīvā līzinga un ilgtermiņa nomas segmentā. Ja persona iegādājas elektromobili operatīvajā līzingā un pēc 36–48 mēnešiem to pārdod atpakaļ transportlīdzekļa pārdevējam, 12 mēnešu slieksnis samazina šā auto atlikušo tirgus vērtību, jo to vairs nevar realizēt ar EKII atbalsta priekšrocību. Tajā pašā laikā importēts salīdzināms lietots elektromobilis var tikt realizēts ar atbalstu. Tas samazina pārdevēja motivāciju atpirkt Latvijā jau lietotu elektromobili par ekonomiski pamatotu atlikušo vērtību, kavē klienta pāreju uz nākamo jauno bezemisiju transportlīdzekli un līdz ar to mazina pašas programmas efektu. Tādēļ 23.5. punkta pašreizējā redakcija arī praktiski darbojas pretēji EKII programmas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23.5. punktu svītrot vai precizēt, paredzot, ka 12 mēnešu reģistrācijas slieksnis nav attiecināms uz demonstrācijas transportlīdzekļiem un transportlīdzekļiem, kas iepriekš lietoti ilgtermiņa nomas vai operatīvā līzinga ietvaros līdz 36 vai 48 mēnešiem. Vienlaikus jāatzīst, ka šādu izņēmumu piemērošanai būs nepieciešama skaidra pārbaudes metode, lai Sabiedrība ar ierobežotu atbildību "Vides investīciju fonds" varētu pārliecināties par konkrētā transportlīdzekļa statusu. Tādēļ alternatīvi vienkāršāks un administratīvi vieglāk piemērojams risinājums būtu palielināt 12 mēnešu reģistrācijas slieksni līdz 36 vai 48 mēnešiem, kas atbilst operatīvā līzinga atpakaļpirkumu ciklam un vienlaikus mazina 23.5. punkta konkurenci kropļojošo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politikas plānošanas viedokļa prasība, ka atbalsts tiek piešķirts tikai tiem elektromobiļiem, kas Latvijā reģistrēti ne ilgāk kā 12 mēnešus, ir pamatota un saglabājama, jo tā nodrošina atbalsta programmas mērķtiecību un atbilstību publisko līdzekļu izlietojuma principiem. Šāds ierobežojums samazina risku, ka atbalsts faktiski tiek novirzīts sekundāram tirgum vai elektromobiļiem, kas Latvijā izmantoti ilgstoši, tādējādi nesasniedzot programmas galveno mērķi – veicināt jaunu vai nesen ieviestu elektromobiļu ienākšanu Latvijas autoparkā un ātrāku fosilo degvielu aizstāšanu. Termiņa pagarināšana līdz 48 mēnešiem būtiski paplašinātu atbalsta saņēmēju loku, taču vienlaikus vājinātu saikni starp atbalstu un politikas sasniedzamo rezultātu, radot nesamērīgu budžeta izlietojumu un palielinot iespēju, ka atbalsts kļūst par vispārēju subsīdiju Latvijā lietotu elektromobiļu apritei, nevis mērķētu klimata politikas instrumentu. Turklāt šāda norma stiprina vienlīdzības un tiesiskās noteiktības principu, jo skaidri nosaka objektīvu kritēriju, kas ir pārbaudāms un administrējams, vienlaikus mazinot manipulāciju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šo noteikumu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8.4. </w:t>
            </w:r>
            <w:r w:rsidR="00000000" w:rsidRPr="00000000" w:rsidDel="00000000">
              <w:rPr>
                <w:rtl w:val="0"/>
              </w:rPr>
              <w:t xml:space="preserve">apakšpunktā</w:t>
            </w:r>
            <w:r w:rsidR="00000000" w:rsidRPr="00000000" w:rsidDel="00000000">
              <w:rPr>
                <w:rtl w:val="0"/>
              </w:rPr>
              <w:t xml:space="preserve"> minētajā aktivitātē transportlīdzeklis nav reģistrēts Latvijā ilgāk par 12 mēnešiem.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1.1.punktā precizēt norādīto atsauci uz Klimatnoturības un ekonomiskās ilgtspējas likuma 15.panta astotās daļas 2.punktu atbilstoši veiktajiem precizējumiem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1.1.punktā  tika veikts precizējums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Komisijas 2022.gada 4.marta vēstulē lietā Nr.SA.101425 (2022/N) – Latvia Reducing greenhouse gas emissions in the transport sector - support for the purchase of zero - emission and low - emission vehicles sniegto viedokli, ka pasākuma iespējamā ietekme uz transportlīdzekļu piegādātājiem/tirgotājiem, pārdodot transportlīdzekļus, varētu tikt kvalificēta kā tikai sekundāra ekonomiska ietekme, lūdzam anotācijā ietvert arī pamatojumu komercdarbības atbalsta kontekstā, kāpēc transportlīdzekļu piegādātājiem/tirgotājiem tiešā veidā netiek radītas tādas priekšrocības, kas kvalificējas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Atiiecībā uz noteikumu 26.5. punktu anotācijā ir minēts "Vienlaikus, lai mazinātu finanšu korekciju riskus, kas var iestāties no atbalsta saņēmēja neatkarīgiem apstākļiem transportlīdzekļa izmantošanas laikā, MK noteikumu projekta paredz, ka, ja atbalsta saņēmējs monitoringa periodā nespēj nodrošināt nosacījumu par vismaz 52 000 km nobraukumu (no brīža, kad elektromobilis reģistrēts finansējuma saņēmēja īpašumā vai turējumā), noslēdzoties monitoringa periodam, ir pieļaujama transprtlīdzekļa faktiskā nobraukuma nobīde uz leju 20 % apmērā, proti, ar minēto transportlīdzekli var nobraukt mazāku attālumu un Vides investīciju fonds neveic atgūstamo neattieicnāmo līdzekļu aprēķinu un neuzsāk to atgūšanu."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precīzāk skaidrot anotācijā, vai gadījumos, kad faktiskais nobraukums būs mazāks par 41 600 km (t.i. ar pieļaujamo nobīdi 20 % apmērā), atgūšana uzsākama par starpību starp faktisko nobraukumu un 52 000 km vai 41 600 km. Pretējā gadījumā esošā versija ir interpretējama.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Atgūstamais neattiecināmo līdzekļu apjoms tiks aprēķināts atbilstoši 72. punktā noteiktajai aprēķinu formulai, t.i., ņemot vērā faktisko nobraukumu monitoringa perioda laikā un projekta līgumā/MK noteikumos noteikto nobraucamo apjomu - 52 000 km.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Lūdzām pārbaudīt formulējumu par NEKP 3.1.1.7. pasākuma mērķi, lai izvairītos no nepareizas interpretācijas riska (līdz 2030. gadam ir nepieciešams sasniegt 20 000 bezemisiju transportlīdzekļu skaitu (BET), vai ir jāpalielina BET skaitu par 20 000 līdz 2030.g.?).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NEKP 3.1.1.7. pasākuma īstenošanai noteiktajiem finansējuma avotiem līdz 2030. gadam nepieciešams palielināt bezemisiju transportlīdzekļu skaitu par 20 000.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priekšlikumu. Lai mazinātu risku nevienlīdzības paaugstināšanai, vajadzētu ierobežot atbalsta sniegšanu turīgākajai sabiedrības daļai un izvērtēt iepriekšējo programmu saņēmēju loku, lai novērstu šos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maksimālo transportlīdzekļa bāzes komplektācijas cenu, t.i., no atbalsta programmas tiek izslēgti </w:t>
            </w:r>
            <w:r w:rsidR="00000000" w:rsidRPr="00000000" w:rsidDel="00000000">
              <w:rPr>
                <w:i w:val="1"/>
                <w:rtl w:val="0"/>
              </w:rPr>
              <w:t xml:space="preserve">premium</w:t>
            </w:r>
            <w:r w:rsidR="00000000" w:rsidRPr="00000000" w:rsidDel="00000000">
              <w:rPr>
                <w:rtl w:val="0"/>
              </w:rPr>
              <w:t xml:space="preserve"> klases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Līdzšinējās EKII atbalsta programmas saņēmēju loka izvērtēšana nav iespējama, t.i., ne ministrija, ne Vides investīciju fonds nav veicis un neplāno veikt fizisko personu datu iegūšanu un to apstrādi, lai izvērtētu atbalsta saņēmēju finansiālo stāvokli.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1.3.sadaļu pēc rindkopas "Lai nodrošinātu fiziskas personas atbilstības pārbaudi noteikumu projekta 14. un 15. punkta prasībām Vides investīciju fonds izmantos publiski pieejamās datubāzes un Iekšlietu ministrijas Informācijas centra pārziņā esošo valsts informācijas sistēmu "Sodu reģistrs", kā arī fiziskās personas iesniegto apliecinājumu (noteikumu projekta 2. pielikums). Informācija tiks pārbaudīta par katru fizisku personu, kas iegādāsies transportlīdzekli konkursa ietvaros. Ņemot vērā, ka atbalsta sniegšana plānota vairāku gadu laikā, tad paredzams, ka pārbaudāmais informācijas apjoms būs samērīgs un atbilstošs konkursa mērķa sasniegšanai." ar tabulu, kurai būtu trīs kolonnas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"1.kolonna - Personas dalības veids - Projekta iesniedzējs, atbalsta saņēmējs vai persona, kura ir projekta iesniedzēja valdes vai padomes loceklis vai prokūrists, vai persona, kura ir pilnvarota pārstāvēt projekta iesniedzēju;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2.kolonna – Tiesību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Krimināllikums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“Par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Darba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3.kolonna – Tiesību aktu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[pretī Krimināllikumam]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1</w:t>
            </w:r>
            <w:r w:rsidR="00000000" w:rsidRPr="00000000" w:rsidDel="00000000">
              <w:rPr>
                <w:rtl w:val="0"/>
              </w:rPr>
              <w:t xml:space="preserve"> pants. Terorisms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2</w:t>
            </w:r>
            <w:r w:rsidR="00000000" w:rsidRPr="00000000" w:rsidDel="00000000">
              <w:rPr>
                <w:rtl w:val="0"/>
              </w:rPr>
              <w:t xml:space="preserve"> pants. Terorisma finansēšana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4</w:t>
            </w:r>
            <w:r w:rsidR="00000000" w:rsidRPr="00000000" w:rsidDel="00000000">
              <w:rPr>
                <w:rtl w:val="0"/>
              </w:rPr>
              <w:t xml:space="preserve"> pants. Personas vervēšana, apmācīšana un apmācīšanās terorismam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6</w:t>
            </w:r>
            <w:r w:rsidR="00000000" w:rsidRPr="00000000" w:rsidDel="00000000">
              <w:rPr>
                <w:rtl w:val="0"/>
              </w:rPr>
              <w:t xml:space="preserve"> pants. Terorisma attaisnošana, aicinājums uz terorismu un terorisma draudi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pants. Krāpšana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 pants. Piesavināšanās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pants. Noziedzīgi iegūtu līdzekļu legalizēšana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 pants. Neatļauta labumu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 pants. Komerciālā uzpirkšana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pants. Izvairīšanās no nodokļiem un tiem pielīdzināto maksājumu nomaksas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280.pants. Personas nodarbināšanas noteikumu pārkāpšana (otra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 pants. Kukuļņemšana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pants. Kukuļa piesavināšanās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pants. Kukuļdošana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326.pants. Neatļauta piedalīšanās mantiskos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w:t>
            </w:r>
            <w:r w:rsidR="00000000" w:rsidRPr="00000000" w:rsidDel="00000000">
              <w:rPr>
                <w:vertAlign w:val="superscript"/>
                <w:rtl w:val="0"/>
              </w:rPr>
              <w:t xml:space="preserve">1</w:t>
            </w:r>
            <w:r w:rsidR="00000000" w:rsidRPr="00000000" w:rsidDel="00000000">
              <w:rPr>
                <w:rtl w:val="0"/>
              </w:rPr>
              <w:t xml:space="preserve"> pants. Tirgošanās ar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w:t>
            </w:r>
            <w:r w:rsidR="00000000" w:rsidRPr="00000000" w:rsidDel="00000000">
              <w:rPr>
                <w:vertAlign w:val="superscript"/>
                <w:rtl w:val="0"/>
              </w:rPr>
              <w:t xml:space="preserve">2</w:t>
            </w:r>
            <w:r w:rsidR="00000000" w:rsidRPr="00000000" w:rsidDel="00000000">
              <w:rPr>
                <w:rtl w:val="0"/>
              </w:rPr>
              <w:t xml:space="preserve"> pants. Prettiesiska labumu pieprasīšana un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w:t>
            </w:r>
            <w:r w:rsidR="00000000" w:rsidRPr="00000000" w:rsidDel="00000000">
              <w:rPr>
                <w:vertAlign w:val="superscript"/>
                <w:rtl w:val="0"/>
              </w:rPr>
              <w:t xml:space="preserve">3</w:t>
            </w:r>
            <w:r w:rsidR="00000000" w:rsidRPr="00000000" w:rsidDel="00000000">
              <w:rPr>
                <w:rtl w:val="0"/>
              </w:rPr>
              <w:t xml:space="preserve"> pants. Prettiesiska labumu došana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[pretī likumam “Par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panta. Informatīvo deklarāciju iesniegšanas termiņu neievērošana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[pretī Darba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 pants. Darba līguma nenoslēgšana rakstveida 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tabulas veidošanai var vērtēt Ministru kabineta 2025.gada 4.februāra noteikumu Nr.84 "Emisijas kvotu izsolīšanas instrumenta finansēto projektu atklāta konkursa "Sabiedrības izpratnes veicināšana par klimatneitralitātes un klimatnoturības nozīmi un iespējām" nolikums" sākotnējās ietekmes (ex-ante) novērtējuma ziņojuma (anotācijas) 1.3.sadaļā ietverto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papildināta ar attiecīgu tabulu.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16.03.2026. 11:24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Emisijas kvotu izsolīšanas instrumenta finansēto projektu atklāta konkursa "Atbalsts bezemisiju un mazemisiju transportlīdzekļu iegādei"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- 31.03.2026.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Satiksmes ministrija ir līdzatbildīga NEKP pasākumu mērķu sasniegšanā saistībā ar autotransporta zaļināšanu, ministrija konceptuāli iebilst pret noteikumu projektu esošajā redakcijā, jo atbalsts nav mērķēts uz transportlīdzekļiem ar lielāko nobraukumu gadā jeb lielākiem piesārņotājiem. Ministrijas ieskatā atbalstam prioritāri ir jābūt mērķētam uz transportlīdzekļiem ar lielu nobraukumu - vismaz 15 000 km/ gadā. Šāds nobraukums privātpersonām būtu jāpierāda, saņemot valsts atbalstu un projekta īstenošanas laikā. Lūdzam precizēt atbalsta saņemšanas nosacījumus un projekta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Satiksmes ministrija uzskata, ka ir nepieciešama atsevišķa atbalsta programma, kas vērsta uz elektrovelosipēdu atbalstu, piemēram, pilsētu kravas transportlīdzekļiem.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1.Klimata un enerģētikas ministrija (Ministrija) apzinās, ka saskaņā ar Klimatnoturības un ekonomiskās ilgtspējas likuma 5.panta piektās daļas 2.punktu Satiksmes ministrija ir koordinējošā ministrija par rīcībpolitiku un pasākumu, kas tiešā vai netiešā veidā nodrošina siltumnīcefekta gāzu emisiju samazināšanas sektorālo mērķu izpildi, izstrādāšanu un īstenošanu transporta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Satiksmes ministrijas ierosinājums mērķēt atbalstu uz transportlīdzekļiem ar lielāku nobraukumu varētu palielināt emisiju samazinājumu uz vienu atbalsta saņēmēju, 15 000 km/gadā kritērija noteikšana iedzīvotājiem būtiski sarežģītu atbalsta programmas pieejamību, mazinātu interesi par videi draudzīgu transportlīdzekļu izmantošanu, apgrūtinātu uzraudzību, radot nesamērīgu slogu, pārbaudes un strīdu riskus, kā arī potenciālu krāpniecības risku odometra datu ticamības dēļ. Vienlaikus šāds nosacījums nepamatoti sašaurinātu atbalsta saņēmēju loku un mazinātu atbalsta programmas pieejamību, apdraudot projektu konkursa mērķi - veicināt bezemisiju un mazemisiju transportlīdzekļu plašāku ieviešanu un savlaicīgu finansējuma apguvi. Tāpat ir jāņem vērā aspekti, par transportlīdzekļa izmantošanas praktiskajiem aspektiem, t.i. izmantošanas mērķis, ģeogrāfiskā atrašanās vieta, transportlīdzekļu skaits ģimenē utt. MK noteikumu projektā ietvertais nosacījums – nobraukums 52 000 km 5 gadu laikā – Ministrijas ieskatā ir pamatots, ņemot vērā gan CSDD pieejamos datus par elektromobiļu vidējo nobraukumu (skat. informāciju anotācijas 1.3.sadaļā), gan datus no īstenotās atbalsta programmas “Siltumnīcefekta gāzu emisijas samazināšana transporta sektorā – atbalsts bezemisiju un mazemisiju transportlīdzekļu iegādei”, gan starptautisko praksi, gan mazinot riskus attiecībā uz finansiālajām korekcijām par mērķu nesasniegšanu.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uzskata, ka MK noteikumu projektā ir skaidri un detāli norādīta kārtība par projekta rezultātu sasniegšanu un uzraudzību, tajā skaitā par atgūstamo neattiecināmo līdzekļu apjoma aprēķinu un atgūšanas kārtību (MK noteikumu projekta XII 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2.Ministrija piekrīt, ka viens no risinājumiem emisiju mazināšanai transporta sektorā ir mikromobilitātes (velosipēdu, elektrovelosipēdu) rīku izmantošanas veicināšana. Vienlaikus atbalsts šādu rīku iekļaušanai vieglo transportlīdzekļu atbalsta programmā nav piemērotākais risinājums raugoties no prasību, kritēriju un procedūru viedokļa. Tādēļ Ministrija uzskata, ka atbalsta sniegšana mikromobilitātes rīku iegādei ir jāveido kā jauna un atsevišķa programma balstoties uz Aktualizētajā enerģētikas un klimata plānā 2021.-2030.gadam identificētajiem pasākumiem, kā arī veidojot sinerģiju ar Latvijas Sociālā klimata fonda plānā 2026.-2032.gadam ietvertajiem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Emisijas kvotu izsolīšanas instrumenta finansēto projektu atklāta konkursa "Atbalsts bezemisiju un mazemisiju transportlīdzekļu iegādei"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Klimatnoturības un ekonomiskās ilgtspējas likuma</w:t>
            </w:r>
            <w:r w:rsidR="00000000" w:rsidRPr="00000000" w:rsidDel="00000000">
              <w:rPr>
                <w:rtl w:val="0"/>
              </w:rPr>
              <w:t xml:space="preserve"> 15.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attiecīgu pilnvarojumu Ministru kabineta noteikumu izdošanai paredz Klimatnoturības un ekonomiskās ilgtspējas likuma 15. panta astotās daļas 2. punkts, nevis 15. panta otrā daļa, tādēļ lūdzam attiecīgi precizēt norādi par izdošanas tiesisko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Klimatnoturības un ekonomiskās ilgtspējas likuma 15. panta astotās daļas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Klimatnoturības un ekonomiskās ilgtspējas likuma</w:t>
            </w:r>
            <w:r w:rsidR="00000000" w:rsidRPr="00000000" w:rsidDel="00000000">
              <w:rPr>
                <w:rtl w:val="0"/>
              </w:rPr>
              <w:t xml:space="preserve"> 15. panta astotās daļas 2.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Emisijas kvotu izsolīšanas instrumenta (turpmāk – finanšu instruments) finansēto projektu atklāta konkursa "Atbalsts bezemisiju un mazemisiju transportlīdzekļu iegādei" (turpmāk – konkurss) nolikumu, projektu iesniegumu vērtēšanas kritērijus, projektu iesniegumu iesniegšanas, vērtēšanas, apstiprināšanas un finansējuma piešķiršanas kārtību, kā arī projektu īstenošanas, pārskatu iesniegšanas un pārbaudes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1.punktu, lai tas atbilstu Klimatnoturības un ekonomiskās ilgtspējas likuma 15.panta astotās daļas 2.punktā iekļautajam deleģējumam Ministru kabinetam, kā tas noteikts  Ministru kabineta 2009. gada 3. februāra noteikumu Nr. 108 "Normatīvo aktu projektu sagatavošanas noteikumi" 100.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Emisijas kvotu izsolīšanas instrumenta (turpmāk – finanšu instruments) finansēto projektu atklāta konkursa "Atbalsts bezemisiju un mazemisiju transportlīdzekļu iegādei" (turpmāk – konkurss) nolikumu, ietverot projektu iesniegumu vērtēšanas kritērijus, komercdarbības atbalsta piešķiršanas nosacījumus, projektu iesniegumu iesniegšanas, izskatīšanas, apstiprināšanas un finansējuma piešķiršanas kārtību, projektu īstenošanas kārtību, pārskatu iesniegšanas un pārbaudes kārtību, kā arī neattiecināmo Emisijas kvotu izsolīšanas instrumenta līdzekļu atgūšanas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Emisijas kvotu izsolīšanas instrumenta (turpmāk – finanšu instruments) finansēto projektu atklāta konkursa "Atbalsts bezemisiju un mazemisiju transportlīdzekļu iegādei" (turpmāk – konkurss) nolikumu, projektu iesniegumu vērtēšanas kritērijus, projektu iesniegumu iesniegšanas, vērtēšanas, apstiprināšanas un finansējuma piešķiršanas kārtību, kā arī projektu īstenošanas, pārskatu iesniegšanas un pārbaudes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Ministru kabinets nedrīkst noteikt soda sekas, ja rezultātā projekta iesnieguma iesniedzējs un atbalsta saņēmējs konkursa ietvaros nevar pretendēt uz finansējuma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Likumdevējam ir jānoteic vadlīnijas vai skaidrojumus, kā pilnvarojumu īstenot. Turklāt, ja kritēriju un kārtības noteikšana ir saistīta ar soda sekām, tad Ministru kabinets šādus jautājumus vispār nedrīkstētu regulēt. </w:t>
            </w:r>
            <w:r w:rsidR="00000000" w:rsidRPr="00000000" w:rsidDel="00000000">
              <w:rPr>
                <w:b w:val="1"/>
                <w:rtl w:val="0"/>
              </w:rPr>
              <w:t xml:space="preserve">Ar sodiem, to sekām saistītie jautājumi ir jāregulē likumdevējam.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 ka spēkā esošajā regulējumā, piemēram, ir sastopamas līdzīgas tiesību normas, nav izšķirošas  nozīmes. Tāpat nav nozīmes tam, ja iepriekš izstrādājot normatīvos aktus, Ministru kabinetam tika uzdots noteikt ar sodiem, to noteikšanu, izpildi un sekām saistītus kritērijus un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pārvaldei ir pienākums pastāvīgi pārbaudīt un pilnveidot normatīvo regulējumu (</w:t>
            </w:r>
            <w:r w:rsidR="00000000" w:rsidRPr="00000000" w:rsidDel="00000000">
              <w:rPr>
                <w:i w:val="1"/>
                <w:rtl w:val="0"/>
              </w:rPr>
              <w:t xml:space="preserve">sal. sk. Valsts pārvaldes iekārtas likuma 10. panta 10. daļu)</w:t>
            </w:r>
            <w:r w:rsidR="00000000" w:rsidRPr="00000000" w:rsidDel="00000000">
              <w:rPr>
                <w:rtl w:val="0"/>
              </w:rPr>
              <w:t xml:space="preserve">. Tāpat ir nepieciešams regulāri veikt spēkā esošo tiesību aktu ietekmes pēcpārbaudi, lai pārliecinātos, vai normatīvais regulējums joprojām ir nepieciešams, nerada nelabvēlīgas sekas, atbilst tā izstrādes mērķim, pašreizējai sociālajai un tiesiskajai situācijai (</w:t>
            </w:r>
            <w:r w:rsidR="00000000" w:rsidRPr="00000000" w:rsidDel="00000000">
              <w:rPr>
                <w:i w:val="1"/>
                <w:rtl w:val="0"/>
              </w:rPr>
              <w:t xml:space="preserve">Krūmiņa I. Kādi faktori kavē efektīvu tiesību aktu un rīcībpolitiku ex-post izvērtēšanu Latvijā? Pētījuma galaziņojums. Rīga: Latvijas Republikas Saeima, 2024, 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iepazinusies ar Tieslietu ministrijas pausto viedokli, izvērtējusi to un vērš uzmanību, ka noteikumu projektā paredzētie nosacījumi ir kvalificējošie kritēriji dalībai publiskā finansējuma atklātā konkursā. Minētie kritēriji nosaka minimālās prasības, kurām jāatbilst personai, lai tā varētu pretendēt uz valsts atbalsta piešķiršanu, un tie ir neatņemama publiskā finansējuma piešķiršanas mehānisma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finansējuma piešķiršana nav personas subjektīvās tiesības, bet gan valsts rīcības brīvības ietvaros īstenots atbalsta instruments, kura mērķis ir nodrošināt publisko līdzekļu tiesisku, lietderīgu un efektīvu izmantošanu. Līdz ar to valstij ir ne tikai tiesības, bet arī pienākums noteikt tādus kvalificējošus kritērijus, kas mazina riskus publisko līdzekļu neatbilstošai izmantošanai un nodrošina sabiedrības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Ministru kabinets, izdodot noteikumus, rīkojas likumdevēja piešķirtā pilnvarojuma ietvaros, nosakot konkursa norises kārtību un projektu atlases kritērijus. Šāda regulējuma mērķis ir konkretizēt likumā paredzētā atbalsta instrumenta īstenošanas mehānismu.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Emisijas kvotu izsolīšanas instrumenta (turpmāk – finanšu instruments) finansēto projektu atklāta konkursa "Atbalsts bezemisiju un mazemisiju transportlīdzekļu iegādei" (turpmāk – konkurss) nolikumu, ietverot projektu iesniegumu vērtēšanas kritērijus, komercdarbības atbalsta piešķiršanas nosacījumus, projektu iesniegumu iesniegšanas, izskatīšanas, apstiprināšanas un finansējuma piešķiršanas kārtību, projektu īstenošanas kārtību, pārskatu iesniegšanas un pārbaudes kārtību, kā arī neattiecināmo Emisijas kvotu izsolīšanas instrumenta līdzekļu atgūšanas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(turpmāk – ministrija) ar līgumu deleģē valsts sabiedrībai ar ierobežotu atbildību "Vides investīciju fonds" (turpmāk – Vides investīciju fonds) pienākumu pieņemt un vērtēt projektu iesniegumus, pieņemt lēmumus par finanšu instrumenta finansējuma piešķiršanu vai par finanšu instrumenta finansējuma piešķiršanas atteikumu, līgumu par projekta īstenošanu (turpmāk – projekta līgums) sagatavošanu, noslēgšanu, grozīšanu un izbeigšanu, pārbaudīt pārskatus un kontrolēt projektu īstenošanu, uzraudzīt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minētos atbalsta saņēmējus monitoringa perioda ietvaros, kā arī atgūt projektiem izmaksātos finanšu instrumenta līdzekļus, kas atzīti par neattiecināmiem. Attiecībā uz šajā punktā minēto pārvaldes uzdevumu izpildi Vides investīciju fonds ir ministrijas pārraudzībā.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strīda par pienākumu sadali starp Vides investīciju fondu un Klimata un enerģētikas ministriju, lūdzam precizēt noteikumu projekta 3. punktu, precīzi atbilstoši Klimatnoturības un ekonomiskās ilgtspējas likuma 15. panta piektajā daļā paredzētajam formulējumam nosakot, kurus Klimatnoturības un ekonomiskās ilgtspējas likuma 15. panta piektajā daļā noteiktos uzdevumus, pamatojoties uz deleģēšanas līgumu, veic Vides investīciju fonds. Vienlaikus lūdzam papildināt noteikumu projekta anotāciju ar skaidrojumu, ka minētie uzdevumi tiek deleģēti ar līgumu atbilstoši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svītrot noteikumu projekta 3. punkta otro teikumu, jo tas dublē Klimatnoturības un ekonomiskās ilgtspējas likuma 15. panta septīto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projekta 3.punktā un anotācijas 1.3.sadaļā.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(turpmāk – ministrija) ar līgumu deleģē valsts sabiedrībai ar ierobežotu atbildību "Vides investīciju fonds" (turpmāk – Vides investīciju fonds) pienākumu organizēt projektu iesniegumu konkursu, pieņemt un izvērtēt projektu iesniegumus, pieņemt lēmumus par finanšu instrumenta finansējuma piešķiršanu vai par atteikumu to piešķirt, sagatavot, noslēgt, grozīt vai izbeigt līgumus par projektu īstenošanu, uzraudzīt projektu īstenošanu un līgumu par projektu īstenošanu izpildi, pārbaudīt projektu īstenotāju iesniegtos pārskatus par projektu īstenošanas progresu un projektu rezultātu monitoringu un iesniegt ministrijai apkopotu informāciju, kā arī atgūt projektiem piešķirto neattiecināmo finanšu instrumenta 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iesnieguma iesniedzējs ir valsts akciju sabiedrības "Ceļu satiksmes drošības direkcija" pārziņā esošajā transportlīdzekļu un to vadītāju valsts reģistrā reģistrēts komersants, kas normatīvajos aktos noteiktajā kārtībā ierīkojis un reģistrējis transportlīdzekļu tirdzniecības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"valsts akciju sabiedrības "Ceļu satiksmes drošības direkcija" pārziņā esošajā",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noteikumu projekta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iesniedzējs ir transportlīdzekļu un to vadītāju valsts reģistrā reģistrēts komersants, kas normatīvajos aktos par transportlīdzekļu un to numurēto agregātu tirdzniecību noteiktajā kārtībā ierīkojis un reģistrējis transportlīdzekļu tirdzniecības vietu.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iesnieguma iesniedzējs ir valsts akciju sabiedrības "Ceļu satiksmes drošības direkcija" pārziņā esošajā transportlīdzekļu un to vadītāju valsts reģistrā reģistrēts komersants, kas normatīvajos aktos noteiktajā kārtībā ierīkojis un reģistrējis transportlīdzekļu tirdzniecības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projektā atbilstoši Klimatnoturības un ekonomiskās ilgtspējas likumā noteiktajam precizēt terminoloģiju, termina "projekta iesnieguma iesniedzējs" vietā lietojot terminu "projekta iesniedzējs".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iesniedzējs ir transportlīdzekļu un to vadītāju valsts reģistrā reģistrēts komersants, kas normatīvajos aktos par transportlīdzekļu un to numurēto agregātu tirdzniecību noteiktajā kārtībā ierīkojis un reģistrējis transportlīdzekļu tirdzniecības vietu.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jaunu rūpnieciski ražotu M1 un N1 kategorijas elektromobiļu iegāde, kuru SEG emisijas ir 0 CO</w:t>
            </w:r>
            <w:r w:rsidR="00000000" w:rsidRPr="00000000" w:rsidDel="00000000">
              <w:rPr>
                <w:vertAlign w:val="subscript"/>
                <w:rtl w:val="0"/>
              </w:rPr>
              <w:t xml:space="preserve">2</w:t>
            </w:r>
            <w:r w:rsidR="00000000" w:rsidRPr="00000000" w:rsidDel="00000000">
              <w:rPr>
                <w:rtl w:val="0"/>
              </w:rPr>
              <w:t xml:space="preserve">/km, un kuriem atbilstības apliecinājumā atbilstoši normatīvajam aktam par riteņu transportlīdzekļu un to sastāvdaļu atbilstības novērtēšanu norādītais nobraukums pilsētas apstākļos starp pilnas uzlādes reizēm ir vismaz 150 km un transportlīdzekļu maksimālais ātrums ir vismaz 90 km/h. Ja atbilstības apliecinājumā nav norādīts nobraucamais attālums starp uzlādes reizēm, komersants, kas normatīvajos aktos noteiktajā kārtībā ierīkojis un reģistrējis transportlīdzekļu tirdzniecības vietu un ir transportlīdzekļa izgatavotāja oficiālais pārstāvis, sagatavo un vienlaikus ar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 projekta iesniegumu iesniedz Vides investīciju fondā apliecinājumu, ka transportlīdzeklis pilsētas apstākļos starp pilnas uzlādes reizēm spēj nobraukt vismaz 150 km. Šo noteikumu izpratnē ar jaunu rūpnieciski ražotu M1 un N1 kategorijas elektromobili saprot automobili, kas ir lietots mazāk par sešiem mēnešiem vai nobraucis mazāk par 6000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norādi "komersants, kas normatīvajos aktos noteiktajā kārtībā ierīkojis un reģistrējis transportlīdzekļu tirdzniecības vietu un ir transportlīdzekļa izgatavotāja oficiālais pārstāvis" aizstāt ar atsauci uz projekta iesniedzēju, nepieciešamības gadījumā prasību par to, ka personai jābūt transportlīdzekļa izgatavotāja oficiālais pārstāvim, iekļaujot noteikumu projekta 4.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projekta 8.1., 8.2., 8.3., 8.4. un 8.5.apakšpunktos. Informējam, ka nosacījumi "komersants, kas normatīvajos aktos noteiktajā kārtībā ierīkojis un reģistrējis transportlīdzekļu tirdzniecības vietu" un "transportlīdzekļa izgatavotāja oficiālais pārstāvis" ir divi dažādi kritēriji un nav piemērojami zem termina "projekta iesniedzējs", t.i. kritērijs "komersants, kas normatīvajos aktos noteiktajā kārtībā ierīkojis un reģistrējis transportlīdzekļu tirdzniecības vietu" ir ar daudz plašāku tvērumu. Oficiālais pārstāvis ir komersants, kurš saskaņā ar rakstveida pilnvarojumu vai līgumu ar transportlīdzekļa izgatavotāju (ražotāju) ir tiesīgs attiecīgā izgatavotāja vārdā Latvijas Republikā veikt transportlīdzekļu tirdzniecību, nodrošināt garantijas saistību izpildi, pēcpārdošanas apkalpošanu un tehnisko atbalstu, kā arī pārstāvēt izgatavotāju jautājumos, kas saistīti ar transportlīdzekļu atbilstību normatīvo aktu prasībām. Par oficiālo pārstāvi šā normatīvā akta izpratnē uzskatāms tikai tāds komersants, kura statuss ir apliecināms ar izgatavotāja izsniegtu pilnvarojumu vai līgumu un kurš ir identificējams kā autorizēts izplatītājs izgatavotāja vai tā grupas uzņēmumu oficiālajos informācijas avotos. Līdz ar to minētais kritērijs "oficiālais pārstāvis" netiek ietverts MK noteikumu projekta 4.punktā, bet atstāts 8.1., 8.2., 8.3., 8.4. un 8.5.apakšpunktos.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jaunu rūpnieciski ražotu M1 un N1 kategorijas elektromobiļu iegāde, kuru SEG emisijas ir 0 CO</w:t>
            </w:r>
            <w:r w:rsidR="00000000" w:rsidRPr="00000000" w:rsidDel="00000000">
              <w:rPr>
                <w:vertAlign w:val="subscript"/>
                <w:rtl w:val="0"/>
              </w:rPr>
              <w:t xml:space="preserve">2</w:t>
            </w:r>
            <w:r w:rsidR="00000000" w:rsidRPr="00000000" w:rsidDel="00000000">
              <w:rPr>
                <w:rtl w:val="0"/>
              </w:rPr>
              <w:t xml:space="preserve">/km, un kuriem atbilstības apliecinājumā atbilstoši normatīvajam aktam par riteņu transportlīdzekļu un to sastāvdaļu atbilstības novērtēšanu norādītais nobraukums pilsētas apstākļos starp pilnas uzlādes reizēm ir vismaz 150 km un transportlīdzekļu maksimālais ātrums ir vismaz 90 km/h. Ja atbilstības apliecinājumā nav norādīts nobraucamais attālums starp uzlādes reizēm, projekta iesniedzējs, kurš ir transportlīdzekļa izgatavotāja oficiālais pārstāvis, sagatavo un vienlaikus ar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minēto projekta iesniegumu iesniedz Vides investīciju fondā apliecinājumu, ka transportlīdzeklis pilsētas apstākļos starp pilnas uzlādes reizēm spēj nobraukt vismaz 150 km. Šo noteikumu izpratnē ar jaunu rūpnieciski ražotu M1 un N1 kategorijas elektromobili saprot automobili, kas ir lietots mazāk par sešiem mēnešiem vai nobraucis mazāk par 6000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iesnieguma iesniedzējam ir tiesības iesniegt vienu projekta iesniegumu, kurā ietver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vai </w:t>
            </w:r>
            <w:r w:rsidR="00000000" w:rsidRPr="00000000" w:rsidDel="00000000">
              <w:rPr>
                <w:rtl w:val="0"/>
              </w:rPr>
              <w:t xml:space="preserve">8.6. </w:t>
            </w:r>
            <w:r w:rsidR="00000000" w:rsidRPr="00000000" w:rsidDel="00000000">
              <w:rPr>
                <w:rtl w:val="0"/>
              </w:rPr>
              <w:t xml:space="preserve">apakšpunktā</w:t>
            </w:r>
            <w:r w:rsidR="00000000" w:rsidRPr="00000000" w:rsidDel="00000000">
              <w:rPr>
                <w:rtl w:val="0"/>
              </w:rPr>
              <w:t xml:space="preserve"> minētās aktivitātes.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izvērtēt un precizēt normas redakciju, atspoguļojot, vai jāietver vismaz viena aktivitāte, jo šobrīd izriet, ka jāietver visas attiecīgās aktivitātes. Papildus lūdzam izvērtēt un salāgot ar noteikumu projekta 15. punktu, no kura izriet, ka kopumā var tikt īstenotas divas aktivitātes, tomēr neizriet, vai abas aktivitātes īstenojamas viena projekta iesnieguma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14. punkta redakcija. Precizēta atsauce uz attiecīgo punktu noteikumu projekta 15. punktā, lai skaidrāk norādītu, ka atbalsta saņēmējs otru transportlīdzekli konkursa ietvaros var iegādāties tikai pēc tam, kad tiek izpildītas noteikumu projektā noteiktās prasības attiecībā uz monitoringa periodu.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iesniedzējam ir tiesības iesniegt vienu projekta iesniegumu, kurā ietver vienu no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vai </w:t>
            </w:r>
            <w:r w:rsidR="00000000" w:rsidRPr="00000000" w:rsidDel="00000000">
              <w:rPr>
                <w:rtl w:val="0"/>
              </w:rPr>
              <w:t xml:space="preserve">8.5. </w:t>
            </w:r>
            <w:r w:rsidR="00000000" w:rsidRPr="00000000" w:rsidDel="00000000">
              <w:rPr>
                <w:rtl w:val="0"/>
              </w:rPr>
              <w:t xml:space="preserve">apakšpunktā</w:t>
            </w:r>
            <w:r w:rsidR="00000000" w:rsidRPr="00000000" w:rsidDel="00000000">
              <w:rPr>
                <w:rtl w:val="0"/>
              </w:rPr>
              <w:t xml:space="preserve"> minētajām aktivitātēm.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iesnieguma iesniedzējs un atbalsta saņēmējs konkursa ietvaros nevar pretendēt uz finansējuma saņemšanu, ja attiecīgi uz projekta līguma parakstīšanas vai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izvērtēt un argumentēti pamatot noteikumu projekta 16. punktā ietverto ierobežojumu nepieciešamību, pieļaujamību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nav saskatāmi kritēriji (tostarp, samērīguma un lietderības kritēriji) un pamatojums noteikumu projektā minēto pārkāpumu ietveršanai projektā.  Vēršam uzmanību, ka ir arī citi līdzvērtīgi pārkāpumi, kas ne mazākā mērā varētu ietekmēt projekta iesniedzēja iespējas pretendēt uz finansējuma saņemšanu. Anotācijā arī nav ietverts argumentēts pamatojums noteikumu projektā norādītajiem ierobežojumiem.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administratīvajiem sodiem, informējam, ka persona atzīstama par administratīvi </w:t>
            </w:r>
            <w:r w:rsidR="00000000" w:rsidRPr="00000000" w:rsidDel="00000000">
              <w:rPr>
                <w:b w:val="1"/>
                <w:rtl w:val="0"/>
              </w:rPr>
              <w:t xml:space="preserve">nesodītu gadu pēc soda izpildes</w:t>
            </w:r>
            <w:r w:rsidR="00000000" w:rsidRPr="00000000" w:rsidDel="00000000">
              <w:rPr>
                <w:rtl w:val="0"/>
              </w:rPr>
              <w:t xml:space="preserve">. Savukārt, ja sods nav izpildīts, persona uzskatāma par administratīvi sodītu vēl gadu pēc soda izpildes noilguma termiņa beigām. Administratīvās atbildības likums noteic, ka administratīvā sodāmība ir administratīvo pārkāpumu izdarījušajai personai soda piemērošanas administratīvi tiesiskās sekas, kas ir spēkā nolēmuma par sodu izpildes laikā, kā arī pēc tam līdz administratīvās sodāmības dzēšanai (24. panta pirmā daļa). Citiem vārdiem sakot, administratīvā sodāmība ir tiesiskās sekas, kas iestājas saistībā ar administratīvā pārkāpuma izdarīšanu un kuras ir spēkā soda izpildes laikā un vēl vienu gadu pēc soda izpildes.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sods kopā ar administratīvo sodāmību veido administratīvās atbildības tiesiskā sekas. Administratīvās sodāmības mērķis ir dot administratīvi sodītajai personai iespēju pierādīt, ka administratīvais sods ir sasniedzis savu mērķi, proti, pierādīt, ka tā ir apzinājusies savas rīcības nepareizumu un sodāmības perioda laikā jaunus pārkāpumus vairs neizdara. Administratīvā sodāmība nosaka pārejas periodu starp brīdi, kad personai ir piemērots sods, līdz brīdim, kad tiek uzskatīts, ka persona pilnībā izpildījusi visas savus pienākumus pret valsti saistībā ar izdarīto likumpārkāpumu.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sodāmības tiesiskās sekas var izpausties kā: 1) personu raksturojošs elements, ko ņem vērā, nosakot administratīvā soda veidu un mēra, ja sodāmības termiņa laikā izdarīts jauns administratīvais pārkāpums; 2) administratīvi tiesiskās sekas, kas likumā noteiktajos gadījumos neļauj pretendēt uz speciālo tiesību piešķiršanu. (</w:t>
            </w:r>
            <w:r w:rsidR="00000000" w:rsidRPr="00000000" w:rsidDel="00000000">
              <w:rPr>
                <w:i w:val="1"/>
                <w:rtl w:val="0"/>
              </w:rPr>
              <w:t xml:space="preserve">Smiltēna A. 4. nodaļa. Administratīvā soda piemērošana. Skaidrojumi. Grām.: Administratīvo pārkāpumu tiesības. Administratīvās atbildības likuma skaidrojumi. Sagatavojis autoru kolektīvs. E. Danovska un G. Kūtra zinātniskajā redakcijā. Rīga: Tiesu namu aģentūra, 2020, 140.-141.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Turpretim projektā nav ierobežots laiks, kad personai tiek liegts pretendēt uz finansējuma saņemšana saistībā ar tās izdarītajiem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ministrija norādījusi iepriekš, noteikumu projektā paredzētie nosacījumi ir kvalificējošie kritēriji dalībai publiskā finansējuma atklātā konkursā. Minētie kritēriji nosaka minimālās prasības, kurām jāatbilst personai, lai tā varētu pretendēt uz valsts atbalsta piešķiršanu, un tie ir neatņemama publiskā finansējuma piešķiršanas mehānisma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finansējuma piešķiršana nav personas subjektīvās tiesības, bet gan valsts rīcības brīvības ietvaros īstenots atbalsta instruments, kura mērķis ir nodrošināt publisko līdzekļu tiesisku, lietderīgu un efektīvu izmantošanu. Līdz ar to finansējuma piešķiršanai definēti tādi ierobežojumi, kas mazina riskus publisko līdzekļu neatbilstošai izmantošanai un nodrošina sabiedrības interešu aizsardzību. Ministrijas ieskatā noteiktie projektu iesniedzēju un atbalsta saņēmēju izslēgšanas kritēriji ir pieļaujami un samērīgi.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gan juridiskas, gan fiziskas personas pieteikšanās konkursa ietvaros atbalstāmo aktivitāšu īstenošanai ir subjektīva nevis absolūta tiesība, un dalība konkursā ir balstoties uz to brīvu gribu. Ņemot vērā iepriekš minēto, kā arī to, ka kā ikvienas citas atbalsta programmas ietvaros ir noteikts maksimāli pieejamais finansējums, kas pastiprina nepieciešamību noteikt atsevišķus kritērijus, pie kuru iestāšanās dalība konkursā nav iespējama.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un atbalsta saņēmējs konkursa ietvaros nevar pretendēt uz finansējuma saņemšanu, ja attiecīgi uz projekta līguma parakstīšanas vai atbalsta piešķiršanas brīdi: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projekta iesnieguma iesniedzējam projekta iesnieguma iesniegšanas termiņam tuvākajā dienā, kurā pieejama Valsts ieņēmumu dienesta informācija par nodokļu parādiem, vai atbalsta saņēmējam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vai </w:t>
            </w:r>
            <w:r w:rsidR="00000000" w:rsidRPr="00000000" w:rsidDel="00000000">
              <w:rPr>
                <w:rtl w:val="0"/>
              </w:rPr>
              <w:t xml:space="preserve">8.6. </w:t>
            </w:r>
            <w:r w:rsidR="00000000" w:rsidRPr="00000000" w:rsidDel="00000000">
              <w:rPr>
                <w:rtl w:val="0"/>
              </w:rPr>
              <w:t xml:space="preserve">apakšpunktā</w:t>
            </w:r>
            <w:r w:rsidR="00000000" w:rsidRPr="00000000" w:rsidDel="00000000">
              <w:rPr>
                <w:rtl w:val="0"/>
              </w:rPr>
              <w:t xml:space="preserve"> minētā transportlīdzekļa pirkumam tuvākajā dienā, kurā pieejama Valsts ieņēmumu dienesta informācija par nodokļu parādiem, ir nodokļu parādi, tai skaitā valsts sociālās apdrošināšanas obligāto iemaksu parādi, kas kopsummā pārsniedz 150</w:t>
            </w:r>
            <w:r w:rsidR="00000000" w:rsidRPr="00000000" w:rsidDel="00000000">
              <w:rPr>
                <w:i w:val="1"/>
                <w:rtl w:val="0"/>
              </w:rPr>
              <w:t xml:space="preserve"> 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16. punkta ievaddaļu ar 16.1. apakšpunktu. Vēršam uzmanību, ka 16. punkta ievaddaļā jau norādīts uz projekta līguma parakstīšanas vai atbalsta piešķiršanas brīdi, tādēļ regulējums par projekta iesnieguma iesniedzējam projekta iesnieguma iesniegšanas termiņam tuvāko dienu vai pirkumam tuvāko dienu ir pretrunā ar juridiskās tehnikas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16.1.apakšpunkts.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projekta iesniedzējam vai atbalsta saņēmējam ir nodokļu parādi, tajā skaitā valsts sociālās apdrošināšanas obligāto iemaksu parādi, kas kopsummā pārsniedz 150</w:t>
            </w:r>
            <w:r w:rsidR="00000000" w:rsidRPr="00000000" w:rsidDel="00000000">
              <w:rPr>
                <w:i w:val="1"/>
                <w:rtl w:val="0"/>
              </w:rPr>
              <w:t xml:space="preserve"> 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projekta iesnieguma iesniedzējs, atbalsta saņēmējs vai persona, kura ir komersanta valdes vai padomes loceklis vai prokūrists, vai persona, kura ir pilnvarota pārstāvēt komersantu, ar tādu prokurora priekšrakstu par sodu vai tiesas spriedumu, kas stājies spēkā un kļuvis neapstrīdams un nepārsūdzams, ir atzīta par vainīgu vai tai ir piemērots piespiedu ietekmēšanas līdzeklis jebkurā no šādiem noziedzīgiem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nedz noteikumu projekts, nedz arī noteikumu projekta anotācija nesniedz skaidrojumu, kādēļ tieši par noteikumu projekta 16.5. apakšpunktā uzskaitītajiem noziedzīgajiem nodarījumiem persona nevar pretendēt uz finansējuma saņemšanu. Šajā sakarā norādām, ka nepieciešams noteikumu projekta anotācijā ietvert skaidrojumu, kādēļ tieši par attiecīgajiem noziedzīgajiem nodarījumiem komersantam būtu jānoteic ierobežojums finansējuma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vai Noteikumu projekta 16.5.  apakšpunktā noteiktais ierobežojums finansējuma saņemšanai ir absolūts, proti, noteikts uz neierobežotu laiku vai arī uz laiku līdz tiek dzēsta vai noņemta komersanta vai tās pārstāvja sodāmība. Šajā sakarā vēršam uzmanību uz tiesībsarga 2019. gada 18. oktobra vēstuli Nr. 1 8/19 Ministru prezidentam par normatīvajos aktos noteiktajiem ierobežojumiem personai izvēlēties sev vēlamu nodarbošanos sakarā ar iepriekš izdarītu noziedzīgu nodarījumu, ar kuru tiek aicināts izvērtēt absolūtā aizlieguma nepieciešamību un apsvērt iespējamību to aizstāt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ierobežojumu, kas ir attiecināms tikai uz tīšiem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ierobežojumu, kas ir attiecināms tikai uz atsevišķiem noziedzīgiem nodarījumiem (piemēram, autortiesību un blakustiesību pārkāpšana saskaņā ar Krimināllikuma 148. pantu, izvairīšanās no nodokļu un tiem pielīdzināto maksājumu nomaksas saskaņā ar Krimināllikuma 218. pantu un būvniecības noteikumu pārkāpšana saskaņā ar Krimināllikuma 239.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ierobežojumu, kas ir attiecināms tikai uz atsevišķu noziedzīgu nodarījumu grupām (piemēram, noziedzīgi nodarījumi pret personas dzīvību un veselību; noziedzīgi nodarījumi pret tikumību un dzimumneaizskaramību; noziedzīgi nodarījumi tautsaimniecībā; noziedzīgi nodarījumi valsts institūciju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ierobežojumu, kas ir attiecināms tikai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noziegumiem (mazāk smagiem,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noziedzīgiem nodarījumiem (kriminālpārkāpumiem un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terminētu ierobežojumu (aizliegumu), proti, tādu, kas beidzas līdz ar sodāmības dzēšanu vai noņemšanu (sīkāk sk. Ministru kabineta 2020. gada 3. marta sēdes protokola Nr. 9, 40.§ (TA-2009) "Atbildes projekts tiesībsargam (par normatīvajos aktos noteiktajiem ierobežojumiem personai izvēlēties sev vēlamu nodarbošanos sakarā ar iepriekš izdarītu noziedzīgu nodarījumu)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gadījumā, ja pēc izvērtējuma ir secināms, ka ierobežojums nav nosakāms absolūts, noteikumu projekta 16.5. apakšpunktu nepieciešams papildināt, nosakot, ka šāds ierobežojums neattiecas uz gadījumiem, kad fiziskās personas sodāmība ir dzēsta vai noņemta.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Noteikumu projekta 16.5. punktā noteiktais ierobežojums paredz, ka personas, kuras ir atzītas par vainīgām korupcijas, mantisku noziedzīgu nodarījumu, nodokļu noziegumu vai ar terorismu saistītu noziedzīgu nodarījumu izdarīšanā, nav tiesīgas kvalificēties valsts atbalsta saņemšanai. Saskaņā ar Krimināllikuma 7. panta ceturto un piekto daļu noteikumu projekta  16.5. punktā minētie noziedzīgie nodarījumi tiek kvalificēti kā smagi vai sevišķi smagi noziegumi.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nodrošina valsts atbalsta piešķiršanas atbilstību sabiedrības interesēm un labas pārvaldības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16.5. punkta ierobežojumi neattiecas uz personām, kurām sodāmība dzēsta vai noņemta atbilstoši Krimināllikuma 63.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projekta iesniedzējs, atbalsta saņēmējs vai persona, kura ir projekta iesniedzēja valdes vai padomes loceklis vai prokūrists, vai persona, kura ir pilnvarota pārstāvēt projekta iesniedzēju, ar tādu prokurora priekšrakstu par sodu vai tiesas spriedumu, kas stājies spēkā un kļuvis neapstrīdams un nepārsūdzams, ir atzīta par vainīgu vai tai ir piemērots piespiedu ietekmēšanas līdzeklis jebkurā no šādiem noziedzīgiem nodarījumiem: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16.5.1. kukuļņemšana, kukuļdošana, kukuļa piesavināšanās, starpniecība kukuļošanā, neatļauta labumu pieņemšana, komerciāla uzpirkšana, neatļauta piedalīšanās mantiskos darījumos, prettiesiska labumu pieprasīšana, pieņemšana un došana vai tirgošanās ar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kukuļdošana un kukuļņemšana ar starpniecību ir atzīstama par noziedzīgu nodarījumu saskaņā ar Krimināllikuma 320. pantu “Kukuļņemšana” vai Krimināllikuma 323. pantu “Kukuļdošana”, un šādi gadījumi ir ietverti jēdzienu “kukuļņemšana” un “kukuļdošana” tvērumā. Saskaņā ar 2022. gada 7. aprīlī pieņemtā likuma "Grozījumi Krimināllikumā" 38. pantu, Krimināllikuma 322. pants "Starpniecība kukuļošanā", kas paredzēja kriminālatbildību par starpniecību kukuļošanā, tas ir, darbībām, kas izpaužas kā kukuļa vai tā apsolījuma vai piedāvājuma nodošana no kukuļdevēja kukuļņēmējam, ir izslēgts, līdz ar to lūdzam izslēgt vārdus "starpniecība kukuļošanā".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16.5.1.apakšpunkts, svītrojot noteiktos vārdus.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16.5.1. kukuļņemšana, kukuļdošana, kukuļa piesavināšanās, neatļauta labumu pieņemšana, komerciāla uzpirkšana, neatļauta piedalīšanās mantiskos darījumos, prettiesiska labumu pieprasīšana, pieņemšana un došana vai tirgošanās ar ietekmi;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16.7.1. vienas vai vairāku personu nodarbināšana, ja tām nav nepieciešamās darba atļaujas vai ja tās nav tiesīgas uzturēties Eiropas Savienības dalībvalstī;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16.7. apakšpunktā saskatāmi gan kriminālatbildības, gan administratīvās atbildības jautājumi, līdz ar to piedāvājam nodalīt kriminālatbildības jautājumus, pievienojot to 16.5. apakšpunkta uzskaitījumam (kā 16.5.5. apakšpunktu). Minētās darbības ir sodāmas saskaņā ar Krimināllikuma 280.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attiecīgie noteikumu projekta apakšpunkti.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16.7.2. personas nodarbināšana bez rakstveidā noslēgta darba līguma vai nodokļu normatīvajos aktos noteiktajā termiņā par šo personu neiesniegta informatīvā deklarācija par darba ņēmējiem (minētā deklarācija iesniedzama par personām, kuras uzsāk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norādi "(minētā deklarācija iesniedzama par personām, kuras uzsāk darbu)", neskaidrojot attiecīgajos normatīvajos aktos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noteikumu projekta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Lai pārbaudītu, vai projekta iesnieguma iesniedzējs nav atzīts par vainīgu kādā šo noteikumu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minētajiem noziedzīgajiem nodarījumiem un </w:t>
            </w:r>
            <w:r w:rsidR="00000000" w:rsidRPr="00000000" w:rsidDel="00000000">
              <w:rPr>
                <w:rtl w:val="0"/>
              </w:rPr>
              <w:t xml:space="preserve">16.7. </w:t>
            </w:r>
            <w:r w:rsidR="00000000" w:rsidRPr="00000000" w:rsidDel="00000000">
              <w:rPr>
                <w:rtl w:val="0"/>
              </w:rPr>
              <w:t xml:space="preserve">apakšpunktā</w:t>
            </w:r>
            <w:r w:rsidR="00000000" w:rsidRPr="00000000" w:rsidDel="00000000">
              <w:rPr>
                <w:rtl w:val="0"/>
              </w:rPr>
              <w:t xml:space="preserve"> minētajiem administratīvajiem pārkāpumiem, Vides investīciju fonds informāciju iegūst no Iekšlietu ministrijas Informācijas centra pārziņā esošās valsts informācijas sistēmas "Sodu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Ir nepieciešams izvērtēt, kādas ziņas ir nepieciešams pieprasīt no Sodu reģistra.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rūpīgi izvērtēt, vai ir nepieciešama informācija par visiem personai piemērotajiem noteikumu projekta 16.7. apakšpunktā minētajiem administratīvajiem sodiem. Skaidrojam, ka piekļuve šādam neierobežotam datu apjomam varētu būtiski aizskart citu personu tiesības un intereses. Kā arī lūdzam no Sodu reģistra pieprasāmo datu apjomu saskaņot arī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izvērtējusi saņemto iebildumu un ņemot vērā līdzšinējo Vides investīciju fonda praksi un faktiskās funkcijas konkursa ietvaros, informācija no valsts informācijas sistēmas “Sodu reģistrs” tiek iegūta tikai tādā apjomā, lai pārliecinātos par projekta iesnieguma iesniedzēja atbilstību šo noteikumu 16.7. apakšpunktā noteiktajiem kvalificējošajiem kritērijiem un lemtu par personas tiesībām pretendēt uz valsts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investīciju fonds neiegūst un neapstrādā vispārīgu vai neierobežotu informāciju par visiem personai piemērotajiem administratīvajiem sodiem, bet tikai tādas ziņas, kurām ir tieša nozīme konkursa ietvaros pieņemamajam lēmumam, tādējādi nodrošinot personas datu apstrādes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attiecīgu skaidrojumu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Lai pārbaudītu, vai projekta iesniedzējs vai atbalsta saņēmējs nav atzīts par vainīgu kādā no šo noteikumu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minētajiem noziedzīgajiem nodarījumiem un </w:t>
            </w:r>
            <w:r w:rsidR="00000000" w:rsidRPr="00000000" w:rsidDel="00000000">
              <w:rPr>
                <w:rtl w:val="0"/>
              </w:rPr>
              <w:t xml:space="preserve">16.7. </w:t>
            </w:r>
            <w:r w:rsidR="00000000" w:rsidRPr="00000000" w:rsidDel="00000000">
              <w:rPr>
                <w:rtl w:val="0"/>
              </w:rPr>
              <w:t xml:space="preserve">apakšpunktā</w:t>
            </w:r>
            <w:r w:rsidR="00000000" w:rsidRPr="00000000" w:rsidDel="00000000">
              <w:rPr>
                <w:rtl w:val="0"/>
              </w:rPr>
              <w:t xml:space="preserve"> minētajiem administratīvajiem pārkāpumiem, Vides investīciju fonds informāciju iegūst no Iekšlietu ministrijas Informācijas centra pārziņā esošās valsts informācijas sistēmas "Sodu reģistrs".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Lai pārbaudītu, vai projekta iesnieguma iesniedzējs nav atzīts par vainīgu kādā šo noteikumu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minētajiem noziedzīgajiem nodarījumiem un </w:t>
            </w:r>
            <w:r w:rsidR="00000000" w:rsidRPr="00000000" w:rsidDel="00000000">
              <w:rPr>
                <w:rtl w:val="0"/>
              </w:rPr>
              <w:t xml:space="preserve">16.7. </w:t>
            </w:r>
            <w:r w:rsidR="00000000" w:rsidRPr="00000000" w:rsidDel="00000000">
              <w:rPr>
                <w:rtl w:val="0"/>
              </w:rPr>
              <w:t xml:space="preserve">apakšpunktā</w:t>
            </w:r>
            <w:r w:rsidR="00000000" w:rsidRPr="00000000" w:rsidDel="00000000">
              <w:rPr>
                <w:rtl w:val="0"/>
              </w:rPr>
              <w:t xml:space="preserve"> minētajiem administratīvajiem pārkāpumiem, Vides investīciju fonds informāciju iegūst no Iekšlietu ministrijas Informācijas centra pārziņā esošās valsts informācijas sistēmas "Sodu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likuma līmenī noteikt tiesisko pamatu Vides investīciju fonda tiesībām apstrādāt projekta iesnieguma iesniedzēja sodāmības datus. Iepazīstoties ar Klimatnoturības un ekonomiskās ilgtspējas likuma 15. panta astotajā daļā ietverto deleģējumu Ministru kabinetam, secināms, ka minētais likums neparedz Ministru kabinetam noteikt Vides investīciju fonda tiesības apstrādāt informāciju par personas sodāmību. Paskaidrojam, ka, ņemot vērā, ka jebkura personas datu apstrāde ir uzskatāma par pamattiesību ierobežojumu, turklāt sodāmības datiem, kas pēc savas būtības ir īpaši sensitīvi, pienākas īpaša aizsardzība, to apstrādei noteiktas īpašas prasības (Eiropas Parlamenta un Padomes 2016. gada 27. aprīļa Regulā (ES) 2016/679 par fizisku personu aizsardzību attiecībā uz personas datu apstrādi un šādu datu brīvu apriti un ar ko atceļ Direktīvu 95/46/EK (Vispārīgā datu aizsardzības regula) personas datu apstrāde par sodāmību un pārkāpumiem (regulas 10. pants) tiek īpaši stingri regulēta), tā pamatā ir nosakāma ar Latvijas Republikas Saeimas pieņemtu likumu. Likumā būtu nosakāms vismaz personas datu apstrādes nolūks, apstrādājamo personas datu kategorijas un kādu kategoriju datu subjektu dati tiks apstrādāti, paredzot Ministru kabinetam tiesības lemt par mazāk būtiskiem datu apstrādes nosacījumiem. Tādēļ, lai izvairītos no situācijas, ka Ministru kabinets bez attiecīga likumdevēja pilnvarojuma daļēji pats nosaka sev pamattiesību ierobežošanas robežas, projekta turpmāka virzība attiecībā uz Vides investīciju fonda tiesībām pieprasīt sodāmības datus no Iekšlietu ministrijas Informācijas centra pieļaujama tikai pēc atbilstoša tiesiskā regulējuma iestrādes Klimatnoturības un ekonomiskās ilgtspējas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Regulas (ES) 2016/679 par fizisku personu aizsardzību attiecībā uz personas datu apstrādi un šādu datu brīvu apriti un ar ko atceļ Direktīvu 95/46/EK (Vispārīgā datu aizsardzības regula) 10. pants par personas datu par sodāmību un pārkāpumiem apstrādē noteic, ka personas datu apstrādi par sodāmību un pārkāpumiem vai ar tiem saistītiem drošības pasākumiem, pamatojoties uz 6. panta 1. punktu, veic </w:t>
            </w:r>
            <w:r w:rsidR="00000000" w:rsidRPr="00000000" w:rsidDel="00000000">
              <w:rPr>
                <w:u w:val="single"/>
                <w:rtl w:val="0"/>
              </w:rPr>
              <w:t xml:space="preserve">tikai oficiālas iestādes kontrolē </w:t>
            </w:r>
            <w:r w:rsidR="00000000" w:rsidRPr="00000000" w:rsidDel="00000000">
              <w:rPr>
                <w:rtl w:val="0"/>
              </w:rPr>
              <w:t xml:space="preserve">vai tad, ja apstrādi atļauj </w:t>
            </w:r>
            <w:r w:rsidR="00000000" w:rsidRPr="00000000" w:rsidDel="00000000">
              <w:rPr>
                <w:u w:val="single"/>
                <w:rtl w:val="0"/>
              </w:rPr>
              <w:t xml:space="preserve">Savienības vai dalībvalsts tiesību akti</w:t>
            </w:r>
            <w:r w:rsidR="00000000" w:rsidRPr="00000000" w:rsidDel="00000000">
              <w:rPr>
                <w:rtl w:val="0"/>
              </w:rPr>
              <w:t xml:space="preserve">, paredzot atbilstošas garantijas datu subjektu tiesībām un brīvībām. Jebkādu visaptverošu sodāmības reģistru uzglabā tikai oficiālas iestādes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Valsts pārvaldes iekārtas likuma 40. panta otro daļu privātpersonai pārvaldes uzdevumu var deleģēt ar ārēju normatīvo aktu un minētais deleģēšanas priekšmets nav iekļauts tādos, kurus publiska persona nevar deleģēt (likuma 41. panta otrā un trešā daļa), kā arī to, ka minētais Sodu reģistrs ir publiskas personas kontrolē, tad Ministrija nesaskata riskus, ka minētie personas dati tiktu apstrādāti pretēji mērķim un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Lai pārbaudītu, vai projekta iesniedzējs vai atbalsta saņēmējs nav atzīts par vainīgu kādā no šo noteikumu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minētajiem noziedzīgajiem nodarījumiem un </w:t>
            </w:r>
            <w:r w:rsidR="00000000" w:rsidRPr="00000000" w:rsidDel="00000000">
              <w:rPr>
                <w:rtl w:val="0"/>
              </w:rPr>
              <w:t xml:space="preserve">16.7. </w:t>
            </w:r>
            <w:r w:rsidR="00000000" w:rsidRPr="00000000" w:rsidDel="00000000">
              <w:rPr>
                <w:rtl w:val="0"/>
              </w:rPr>
              <w:t xml:space="preserve">apakšpunktā</w:t>
            </w:r>
            <w:r w:rsidR="00000000" w:rsidRPr="00000000" w:rsidDel="00000000">
              <w:rPr>
                <w:rtl w:val="0"/>
              </w:rPr>
              <w:t xml:space="preserve"> minētajiem administratīvajiem pārkāpumiem, Vides investīciju fonds informāciju iegūst no Iekšlietu ministrijas Informācijas centra pārziņā esošās valsts informācijas sistēmas "Sodu reģistrs".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Konkursa ietvaros pieļaujamā atbalsta intensitāte nepārsniedz 90 % no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un </w:t>
            </w:r>
            <w:r w:rsidR="00000000" w:rsidRPr="00000000" w:rsidDel="00000000">
              <w:rPr>
                <w:rtl w:val="0"/>
              </w:rPr>
              <w:t xml:space="preserve">8.6. </w:t>
            </w:r>
            <w:r w:rsidR="00000000" w:rsidRPr="00000000" w:rsidDel="00000000">
              <w:rPr>
                <w:rtl w:val="0"/>
              </w:rPr>
              <w:t xml:space="preserve">apakšpunktā</w:t>
            </w:r>
            <w:r w:rsidR="00000000" w:rsidRPr="00000000" w:rsidDel="00000000">
              <w:rPr>
                <w:rtl w:val="0"/>
              </w:rPr>
              <w:t xml:space="preserve"> minētā transportlīdzekļa pārdošanas cenas, nepārsniedzot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noteikto maksimālo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šajā punktā atbalsta intensitāte ir līdz 90% no transportlīdzekļa pārdošanas cenas, tomēr faktisko atbalsta apmēru nosaka 20. punktā noteiktie fiksētie maksimālie apmēri 4 000 EUR par jaunu M1/N1 kategorijas elektromobili (pamata gadījumā). Ņemot vērā, ka jauna M1 kategorijas elektromobiļa tirgus cena Latvijā šobrīd ir aptuveni 30 000–55 000 EUR (ievērojot 23.2. punktā noteiktos cenas griestus 45 000 EUR bez PVN vai 60 000 EUR bez PVN transportlīdzekļiem ar ≥6 sēdvietām), reālā atbalsta intensitāte ir aptuveni 8–13% no transportlīdzekļa iegādes izmaksām. Tādējādi deklarētā 90% intensitāte praksē netiek sasniegta, un atbalsts neatspoguļo faktisko finansiālo slogu, kas gulstas uz atbalsta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rosinām noteikumu projektā paredzēt maksimālā atbalsta apmēra palielināšanu M1 un N1 kategorijas elektromobiļiem un arī hibrīdauto, to salāgojot ar faktiskajām transportlīdzekļu iegādes izmaksām un nodrošinot, ka atbalsta intensitāte ir pietiekama, lai stimulētu mērķa grupas 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konkursa ietvaros paredzēts lielāks atbalsta apmērs personai, kurai ir piešķirta Latvijas Goda ģimenes apliecība. Tāpat personai, kurai ir piešķirta Latvijas Goda ģimenes apliecība un kurai ir četri vai vairāk bērni tiek piešķirts papildus atbalsts 1000 euro apmērā par katru bērnu. Papildus iepriekš minētajam jebkura persona var pretendēt uz papildus atbalstu 2000 </w:t>
            </w:r>
            <w:r w:rsidR="00000000" w:rsidRPr="00000000" w:rsidDel="00000000">
              <w:rPr>
                <w:i w:val="1"/>
                <w:rtl w:val="0"/>
              </w:rPr>
              <w:t xml:space="preserve">euro</w:t>
            </w:r>
            <w:r w:rsidR="00000000" w:rsidRPr="00000000" w:rsidDel="00000000">
              <w:rPr>
                <w:rtl w:val="0"/>
              </w:rPr>
              <w:t xml:space="preserve"> apmērā par savā īpašumā esoša transportlīdzekļa norakstīšanu. Iepriekš minētie mehānismi var nodrošināt būtiski lielāku finansējumu (piemēram, 11-15 tūkst. </w:t>
            </w:r>
            <w:r w:rsidR="00000000" w:rsidRPr="00000000" w:rsidDel="00000000">
              <w:rPr>
                <w:i w:val="1"/>
                <w:rtl w:val="0"/>
              </w:rPr>
              <w:t xml:space="preserve">euro</w:t>
            </w:r>
            <w:r w:rsidR="00000000" w:rsidRPr="00000000" w:rsidDel="00000000">
              <w:rPr>
                <w:rtl w:val="0"/>
              </w:rPr>
              <w:t xml:space="preserve">) konkursa ietvaros atbalstāmo aktivitāšu īstenošanai. Nosacījums, kas paredz atbalsta saņēmēja līdzfinansējumu vismaz 10% apmērā, ir būtisks gadījumos, kad iedzīvotājs iegādājas lietotu elektromobili, t.i. transportlīdzekļa pārdošanas cena kļūst līdzvērtīga atbalsta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līdzšinējā pieredze Emisijas kvotu izsolīšanas instrumenta finansēto projektu atklāta konkursa "Siltumnīcefekta gāzu emisijas samazināšana transporta sektorā – atbalsts bezemisiju un mazemisiju transportlīdzekļu iegādei" ietvaros uzskatāmi parāda, ka aptuveni 21% no kopējā projektu konkursa ietvaros iegādātā transportlīdzekļu skaita ir iegādāti par cenu līdz 20 000 </w:t>
            </w:r>
            <w:r w:rsidR="00000000" w:rsidRPr="00000000" w:rsidDel="00000000">
              <w:rPr>
                <w:i w:val="1"/>
                <w:rtl w:val="0"/>
              </w:rPr>
              <w:t xml:space="preserve">euro</w:t>
            </w:r>
            <w:r w:rsidR="00000000" w:rsidRPr="00000000" w:rsidDel="00000000">
              <w:rPr>
                <w:rtl w:val="0"/>
              </w:rPr>
              <w:t xml:space="preserve"> (bāzes komplektācijā; bez PVN), tādēļ, ņemot vērā iepriekš minētos apsvērumus, atbalsta intensitāte var būtiski pārsniegt iebildumā norādīto apmēru, kā arī sasniegt MK noteikumu projektā minēto maksimāli pieļaujamo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kas attiecas uz maksimālā atbalsta apmēra palielināšanu, norādām, ka attiecībā uz dažāda veida grantu piemērošanu praksē nepieciešams nodrošināt to pakāpenisku samazināšanu un vispārēju pārtraukšanu, un šāda pieeja tiek piemērota arī citās Eiropas Savienības valstīs. Ņemot vērā iepriekš minēto, kā arī lai nodrošinātu publiskā finansējuma racionālu izmantošanu, atbalsta apmēru atsevišķu projektu konkursa ietvaros atbalstāmo aktivitāšu īstenošanai nav plānots palielināt, vienlaikus, kā iepriekš norādīts, MK noteikumu projekts paredz palielinātu atbalsta apmēru noteiktai mērķgrupai.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"Siltumnīcefekta gāzu emisijas samazināšana transporta sektorā – atbalsts bezemisiju un mazemisiju transportlīdzekļu iegādei" ietvaros pieejamais finansējums tika pilnībā apgūts pirms noteiktā termiņa, kas apliecina sabiedrības augsto interesi par projektu konkursa ietvaros atbalstāmo aktivitāšu īstenošanu un noteiktā atbalsta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apjoms/intensitāte nodrošina pēc iespējas augstāku pasākuma izmaksu efektivitāti, kas ir būtisks nosacījums, ņemot vērā Valsts kontroles lietderības revīzijās konstatēto par par publiskā finansējuma efektīvu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Ministrija MK noteikumu projekta tvērumu un nosacījumus izstrādā tā, lai veidotu sinerģiju ar Latvijas Sociālā klimata fonda plānā 2026.-2032.gadam ietverto pasākumu elektromobiļu iegādei mazākaizsargātājiem transporta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Konkursa ietvaros pieļaujamā atbalsta intensitāte nepārsniedz 90 % no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un </w:t>
            </w:r>
            <w:r w:rsidR="00000000" w:rsidRPr="00000000" w:rsidDel="00000000">
              <w:rPr>
                <w:rtl w:val="0"/>
              </w:rPr>
              <w:t xml:space="preserve">8.5. </w:t>
            </w:r>
            <w:r w:rsidR="00000000" w:rsidRPr="00000000" w:rsidDel="00000000">
              <w:rPr>
                <w:rtl w:val="0"/>
              </w:rPr>
              <w:t xml:space="preserve">apakšpunktā</w:t>
            </w:r>
            <w:r w:rsidR="00000000" w:rsidRPr="00000000" w:rsidDel="00000000">
              <w:rPr>
                <w:rtl w:val="0"/>
              </w:rPr>
              <w:t xml:space="preserve"> minētā transportlīdzekļa pārdošanas cenas, nepārsniedzot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noteikto maksimālo atbalsta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Vides investīciju fonds izsludina konkursu, ievietojot sludinājumu oficiālajā izdevumā "Latvijas Vēstnesis" un Vides investīciju fonda tīmekļvietnē. Sludinājumā norāda konkursa nosaukumu, konkursam pieejamo finanšu instrumenta finansējuma apmēru, projektu iesniegumu iesniegšanas termiņu (datumu un laiku) un elektroniskā pasta adresi, uz kuru nosūtāmi projektu iesniegumi un kur iegūstama papildinformācija par konkursa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regulējumu noteikumu projekta 3. punktā un noteikumu projekta 28. punktā, jo 3. punktā nav iekļauts pienākums Vides investīciju fondam organizēt attiecīgu konkursu.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Vides investīciju fonds izsludina konkursu, ievietojot sludinājumu oficiālajā izdevumā "Latvijas Vēstnesis" un Vides investīciju fonda tīmekļvietnē. Sludinājumā norāda konkursa nosaukumu, konkursam pieejamo finanšu instrumenta finansējuma apmēru, projektu iesniegumu iesniegšanas termiņu (datumu un laiku) un elektroniskā pasta adresi, uz kuru nosūtāmi projektu iesniegumi un kur iegūstama papildinformācija par konkursa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projekta iesniegumu sagatavo un noformē atbilstoši normatīvajiem aktiem par dokumentu izstrādāšanu un noformēšanu;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32.1. apakšpunktu, nedublējot noteikumu projekta 32.3. apakšpunktu. Ierosinām svītrot noteikumu projekta 32. un 33. punktu, jo konkrētie nosacījumi pamatā izriet jau no citiem normatīvajiem aktiem, turklāt minētie nosacījumi jau ir iekļauti vērtēšanas kritērijos noteikumu projekta 3.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32.1.apakšpunkts, lai novērstu dublēšanos.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projekta iesnieguma veidlapu paraksta ar drošu elektronisko parakstu, kas satur laika zīmogu, papildus iesniedzamo dokumentu oriģinālus paraksta katru atsevišķi ar autora drošu elektronisko parakstu un apliecina ar laika zīmogu pirms projektu iesniegumu iesniegšanas termiņa beigām. Ja papildus iesniedzamie dokumenti ir dokumentu kopijas, tos apliecina ar projekta iesnieguma iesniedzēja drošu elektronisko parakstu un laika zīmogu pirms projektu iesniegumu iesniegšanas termiņa beigām atbilstoši normatīvajiem aktiem par elektroniskajiem dokumentiem un dokumentu juridisko spēku.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32.6. apakšpunktu, nedublējot 32.1. un 32.3.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noteikumu projekta 32.6.apakšpunkts.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projekta iesniegumu saņem pēc projektu iesniegumu iesniegšanas termiņa beigām, tas netiek vērtēts un Vides investīciju fonds rakstiski informē projekta iesnieguma iesniedzēju par projekta iesnieguma saņemšanu pēc termiņa beigām un atteikumu to vērtēt.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36. punkta regulējumu atbilstoši Administratīvā procesa likuma 63. panta pirmās daļas 3. punktā noteiktajam, proti, ja projekta iesniegums saņemts pēc projektu iesniegumu iesniegšanas termiņa beigām, tad Vides investīciju fonds pieņem lēmumu par projekta iesnieguma noraidīšanu.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MK noteikumu projekta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projekta iesniegums tiek saņemts pēc projektu iesniegumu iesniegšanas termiņa beigām, Vides investīciju fonds pieņem lēmumu par projekta iesnieguma noraidīšanu.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Projekta iesnieguma vērtēšana un lēmuma pieņemšana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regulējumu, kas paredz, kur iesnieguma iesniedzējs var apstrīdēt Vides investīciju fonda lēmumu par projekta iesnieguma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ar attiecīgu regulējumu (jauns 48.punkts).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Projekta iesnieguma vērtēšana un lēmuma pieņemšana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48.9. veidni līgumam, kas noslēdzams starp  Vides investīciju fondu, atbalsta saņēmēju un līzinga devēju (ja tiek izmantots šo noteikumu</w:t>
            </w:r>
            <w:r w:rsidR="00000000" w:rsidRPr="00000000" w:rsidDel="00000000">
              <w:rPr>
                <w:color w:val="#c0392b"/>
                <w:rtl w:val="0"/>
              </w:rPr>
              <w:t xml:space="preserve"> </w:t>
            </w:r>
            <w:r w:rsidR="00000000" w:rsidRPr="00000000" w:rsidDel="00000000">
              <w:rPr>
                <w:rtl w:val="0"/>
              </w:rPr>
              <w:t xml:space="preserve">60. </w:t>
            </w:r>
            <w:r w:rsidR="00000000" w:rsidRPr="00000000" w:rsidDel="00000000">
              <w:rPr>
                <w:rtl w:val="0"/>
              </w:rPr>
              <w:t xml:space="preserve">punktā</w:t>
            </w:r>
            <w:r w:rsidR="00000000" w:rsidRPr="00000000" w:rsidDel="00000000">
              <w:rPr>
                <w:rtl w:val="0"/>
              </w:rPr>
              <w:t xml:space="preserve"> </w:t>
            </w:r>
            <w:r w:rsidR="00000000" w:rsidRPr="00000000" w:rsidDel="00000000">
              <w:rPr>
                <w:color w:val="#c0392b"/>
                <w:rtl w:val="0"/>
              </w:rPr>
              <w:t xml:space="preserve"> </w:t>
            </w:r>
            <w:r w:rsidR="00000000" w:rsidRPr="00000000" w:rsidDel="00000000">
              <w:rPr>
                <w:rtl w:val="0"/>
              </w:rPr>
              <w:t xml:space="preserve">minētais līzinga pakalpojums) par atbalsta saņemšanu transportlīdzekļa iegādei. Līguma veidnē ietver līguma būtiskās sastāvdaļas;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svītrot norādi, ka līguma veidnē ietveramas līguma būtiskās sastāvdaļas, jo jebkurā līgumā ietveramas tā būtiskās sastāvdaļas, tādēļ no noteikumu projekta neizriet attiecīgās norādes viennozīmīgs nolūks, turklāt līgumos atbilstoši Civillikumam var būt arī dabiskās un nejaušās sastāvdaļas.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noteikumu projekta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50.9. veidni līgumam par atbalsta saņemšanu transportlīdzekļa iegādei;, kas noslēdzams starp Vides investīciju fondu, atbalsta saņēmēju un līzinga devēju (ja tiek izmantots šo noteikumu</w:t>
            </w:r>
            <w:r w:rsidR="00000000" w:rsidRPr="00000000" w:rsidDel="00000000">
              <w:rPr>
                <w:color w:val="#c0392b"/>
                <w:rtl w:val="0"/>
              </w:rPr>
              <w:t xml:space="preserve"> </w:t>
            </w:r>
            <w:r w:rsidR="00000000" w:rsidRPr="00000000" w:rsidDel="00000000">
              <w:rPr>
                <w:rtl w:val="0"/>
              </w:rPr>
              <w:t xml:space="preserve">62. </w:t>
            </w:r>
            <w:r w:rsidR="00000000" w:rsidRPr="00000000" w:rsidDel="00000000">
              <w:rPr>
                <w:rtl w:val="0"/>
              </w:rPr>
              <w:t xml:space="preserve">punktā</w:t>
            </w:r>
            <w:r w:rsidR="00000000" w:rsidRPr="00000000" w:rsidDel="00000000">
              <w:rPr>
                <w:rtl w:val="0"/>
              </w:rPr>
              <w:t xml:space="preserve"> minētais līzinga pakalpojums);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ievietojot savā tīmekļvietnē (ja tāda ir) informāciju par konkursu;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53.1. apakšpunktu, nedublējot noteikumu projekta 28.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53.1. apakšpunkts nedublē noteikumu projekta 28. punktā ietverto regulējumu, jo noteikumu projekta 53.1. apakšpunkts (precizēšanas rezultātā mainīta numerācija) attiecināms uz projektu īstenotājiem - finanšu instrumenta publicitātes nodrošināšanai, savukārt noteikumu projekta 28. punkts (precizēšanas rezultātā mainīta numerācija) - uz Vides investīciju fondu par konkursa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ievietojot savā tīmekļvietnē (ja tāda ir) informāciju par konkursu;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tirdzniecības vietā izvietojot informatīvu plāksni (baneri, plakātu) par finanšu instrumentu atbilstoši finanšu instrumenta simbolikas un tās lietošanas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skaidrot, kādā ārējā normatīvajā aktā ietverti finanšu instrumenta simbolikas un tās lietošanas noteikumi vai svītrot atsauci uz minētajiem noteikumiem, nepieciešamības gadījumā nodrošinot to pārņemšanu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MK noteikumu projekta punkts. Finanšu instrumenta simbolikas lietošanas nosacījumus nosaka Klimata un enerģētikas ministrijas iekšējie noteikumi, kas tiek publicēti Vides investīciju fonda tīmekļvietnē pie konkursa saistītās informācijas, kā arī projekta līgumā tiek ietverta atsauce par simbolikas lietošanu.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 tirdzniecības vietā izvietojot informatīvu plāksni (baneri, plakātu) ar finanšu instrumenta simboliku atbilstoši projekta līgumā noteiktajiem nosacījumiem par finanšu instrumenta simbolikas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Projekta īstenotājs mēneša laikā pēc līguma ar atbalsta saņēmēju noslēgšanas neiesniedz </w:t>
            </w:r>
            <w:r w:rsidR="00000000" w:rsidRPr="00000000" w:rsidDel="00000000">
              <w:rPr>
                <w:rtl w:val="0"/>
              </w:rPr>
              <w:t xml:space="preserve">54. </w:t>
            </w:r>
            <w:r w:rsidR="00000000" w:rsidRPr="00000000" w:rsidDel="00000000">
              <w:rPr>
                <w:rtl w:val="0"/>
              </w:rPr>
              <w:t xml:space="preserve">punktā</w:t>
            </w:r>
            <w:r w:rsidR="00000000" w:rsidRPr="00000000" w:rsidDel="00000000">
              <w:rPr>
                <w:rtl w:val="0"/>
              </w:rPr>
              <w:t xml:space="preserve"> minētos dokumentus, tad Vides investīciju fondam ir tiesības vienpusēji atkāpties no līgumā ar atbalsta saņēmēju noteiktajām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55. punkta neizriet, no kāda tieši līguma Vides investīciju fonds var vienpusēji atkāpties, tādēļ lūdzam attiecīgi precizēt. Kā arī lūdzam nodrošināt, ka attiecīgā līguma nosaukums noteikumu projektā tiek konsekventi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un precizēts noteikumu projekts. Konkursa ietvaros ir divi līgumu veidi - starp Vides investīciju fondu un projekta īstenotāju (projekta līgums) un starp Vides investīciju fondu un atbalsta saņēmēju, kā arī līzinga devēju, ja attiecināms (līgums par atbalsta saņemšanu).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projekta īstenotājs mēneša laikā pēc šo noteikumu </w:t>
            </w:r>
            <w:r w:rsidR="00000000" w:rsidRPr="00000000" w:rsidDel="00000000">
              <w:rPr>
                <w:rtl w:val="0"/>
              </w:rPr>
              <w:t xml:space="preserve">61. </w:t>
            </w:r>
            <w:r w:rsidR="00000000" w:rsidRPr="00000000" w:rsidDel="00000000">
              <w:rPr>
                <w:rtl w:val="0"/>
              </w:rPr>
              <w:t xml:space="preserve">punktā</w:t>
            </w:r>
            <w:r w:rsidR="00000000" w:rsidRPr="00000000" w:rsidDel="00000000">
              <w:rPr>
                <w:rtl w:val="0"/>
              </w:rPr>
              <w:t xml:space="preserve"> minētā līguma noslēgšanas neiesniedz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minētos dokumentus, tad Vides investīciju fondam ir tiesības vienpusēji atkāpties no šo noteikumu </w:t>
            </w:r>
            <w:r w:rsidR="00000000" w:rsidRPr="00000000" w:rsidDel="00000000">
              <w:rPr>
                <w:rtl w:val="0"/>
              </w:rPr>
              <w:t xml:space="preserve">49. </w:t>
            </w:r>
            <w:r w:rsidR="00000000" w:rsidRPr="00000000" w:rsidDel="00000000">
              <w:rPr>
                <w:rtl w:val="0"/>
              </w:rPr>
              <w:t xml:space="preserve">punktā</w:t>
            </w:r>
            <w:r w:rsidR="00000000" w:rsidRPr="00000000" w:rsidDel="00000000">
              <w:rPr>
                <w:rtl w:val="0"/>
              </w:rPr>
              <w:t xml:space="preserve"> minētajā līgumā noteiktajām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pielikumā ietverto norādi par piekrišanas sniegšanu, kas paredz Vides investīciju fonda tiesības pārbaudīt noteiktu informāciju par projekta iesnieguma iesniedzēju, ņemot vērā, ka šādas piekrišanas sniegšana kā tiesiskais pamats personas datu apstrādei nebūs atbilstošs Vispārīgās datu aizsardzības regulas prasībām. Paskaidrojam, ka Vispārīgā datu aizsardzības regula, jo īpaši 7.pants, paredz nosacījumus, lai personas piekrišana tā personas datu apstrādei būtu atzīstama par tiesisku un atbilstošu. Tajā skaitā lūgumam sniegt piekrišanu jābūt skaidri atšķirtam no citiem jautājumiem, piekrišanai jābūt brīvi sniegtai - līguma izpilde vai pakalpojuma saņemšana nav tikai atkarīga no tā, vai persona ir sniegusi piekrišanu tā personas datu apstrādei. No noteikumu projekta saprotams, ka projekta iesnieguma iesniedzējs bez piekrišanas sniegšanas par savu personas datu apstrādi nemaz nevar pretendēt uz finansējuma saņemšanu, tādēļ šāda piekrišana nevar būt atzīstama par atbilstošu Vispārīgās datu aizsardzības regulas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norāde uz piekrišanu personas datu apstrādei projekta iesniegumā. Vienlaikus noteikumu projekts papildināts ar nosacījumu par nepieciešamību pie papildus iesniedzamajiem dokumentiem pievienot veidlapu personas datu apstrādei atbilstoši Vides investīciju fonda tīmekļvietnē publicētajai veidnei.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noteikumu projekta ietvaros apstrādājamo personas datu glabāšanas termiņu, anotācijā sniedzot skaidrojumu, kas pamatotu izvēlēto datu glabāšanas termiņu. Atbilstoši Vispārīgās datu aizsardzības regulas 5. panta 1. punkta "e" apakšpunktā ietvertajam glabāšanas ierobežojuma principam, personas datus glabā tikai tik ilgi, kamēr tie ir nepieciešami nolūkiem, kuros to apstrādā. Papildus norādāms, ka regulā nav noteikti konkrēti termiņi datu glabāšanai, tomēr šie termiņi ir saistīti ar pārziņa datu apstrādes nolūkiem un to sasniegšanai nepieciešamo datu apjomu. Tādēļ, ievērojot glabāšanas ierobežojuma principu, noteikumu projektā ir nosakāms personas datu glabāšanas termiņš, savukārt anotācija ir papildināma ar attiecīgu skaidrojumu, kas pamatotu datu glabāšanas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privātuma politika tiek noteikta Vides investīciju fonda iekšējos noteikumos, kas ir publiski pieejami ikvienam interesentam un pielāgoti atbilstoši katram nolūkam, tostarp arī projektu iesniegumu konkursam, līdz ar to aicinām saglabāt līdzvērtīgu pieeju arī turpmāk. Ņemot vērā iepriekš minēto, noteikumu projekta anotācija papildināta ar attiecīgu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salāgot noteikumu projekta pamattekstā un 3. pielikumā minēto. Tostarp, bet ne tikai, vēršam uzmanību, ka pretēji minētajam pielikumam prasības projekta iesniedzējam nav ietvertas vienīgi noteikumu projekta 4. punktā, savukārt 15. punktā faktiski minētas prasības atbalsta saņēmējam. Tāpat, piemēram, no 2.6. kritērija neizriet, kas ir domāts ar elektronisko dokumentu, turklāt no noteikumu projekta jau izriet, ka projekta iesnieguma veidlapu sagatavo DOC, DOCX vai PDF formātā, noteikumu projektā cituviet netiek lietots termins administratīvās vērtēšanas kritēriji, arī atsauce uz šo noteikumu 41. punktu ir nekorekta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noteikumu projekta 3. pielikums, salāgojot ar noteikumu projekta pamattekstu. Vienlaikus ministrijas ieskatā ir būtiski pamatnosacījumus projekta iesnieguma sagatavošanai gan noteikumu projekta pamattekstā, gan atsevišķi izdalīt kā vērtēšanas kritērijus, attiecīgi šis dalījums saglabāts, bet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analizēts, ka NEKP 3.1.1.7. pasākums paredz palielināt bezemisiju vieglo pasažieru transportlīdzekļu skaitu, t.i. pasākuma ietvaros līdz 2030.gadam ir nepieciešams sasniegt 20 000 bezemisiju transportlīdzekļus un šī apjoma sasniegšanai EKII ietvaros indikatīvais atbalstāmo elektromobiļu skaitam indikatīvi būtu jābūt 8300.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aprēķinus.</w:t>
            </w:r>
            <w:r w:rsidR="00000000" w:rsidRPr="00000000" w:rsidDel="00000000">
              <w:rPr>
                <w:rtl w:val="0"/>
              </w:rPr>
              <w:t xml:space="preserve"> Pirmkārt, aprēķinā ir izmantoti dati uz 2024.gada jūliju Latvijā reģistrēto elektromobiļu skaitu (7 549) nevis uz 2025. gada 1. oktobri (12 991), kas arī ir minēts anotācijā vai uz 2026.g. sākumu pieejamie CSDD dati (13 912). </w:t>
            </w:r>
            <w:r w:rsidR="00000000" w:rsidRPr="00000000" w:rsidDel="00000000">
              <w:rPr>
                <w:b w:val="1"/>
                <w:rtl w:val="0"/>
              </w:rPr>
              <w:t xml:space="preserve">Tādēļ apgalvojums “Tātad, lai sasniegtu NEKP pasākuma noteikto mērķi līdz 2030.gadam ir nepieciešams nodrošināt 12 451 transportlīdzekļi” nav aktuāls un nepieciešami ir mazāk kā 7 009 vai 6 088 </w:t>
            </w:r>
            <w:r w:rsidR="00000000" w:rsidRPr="00000000" w:rsidDel="00000000">
              <w:rPr>
                <w:rtl w:val="0"/>
              </w:rPr>
              <w:t xml:space="preserve">(atkarībā no izmantotajiem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anotācijā ir minēts Sociālā klimata fonda plāna projekta konkurss "Atbalsts bezemisiju transportlīdzekļu iegādei mazaizsargātiem transporta lietotājiem" kā ietvaros līdz 2032. gadam ir plānots sniegt atbalstu indikatīvi 4000 elektromobiļiem.  Pašlaik </w:t>
            </w:r>
            <w:r w:rsidR="00000000" w:rsidRPr="00000000" w:rsidDel="00000000">
              <w:rPr>
                <w:u w:val="single"/>
                <w:rtl w:val="0"/>
              </w:rPr>
              <w:t xml:space="preserve">spēkā esošajā</w:t>
            </w:r>
            <w:r w:rsidR="00000000" w:rsidRPr="00000000" w:rsidDel="00000000">
              <w:rPr>
                <w:rtl w:val="0"/>
              </w:rPr>
              <w:t xml:space="preserve"> “Latvijas Sociālā klimata fonda plāns 2026.–2032. gadam”, plānots atbalstu ir sniegt līdz 2030.g., palīdzot vairāk nekā 7 000 mājsaimniecībām. Lūgums arī izvērtēt nepieciešamību ņemt vērā Sociālā klimata fonda plāna projekta pasākumu "Atbalsts bezemisiju un mazemisiju transportlīdzekļu iegādei sociālo pakalpojumu un veselības aprūpes pakalpojumu sniedzējiem", kur plānots iegadāties 428 bezemesiju un mazemesiju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Izmantojot jaunākos CSDD datus par elektromobiļiem un spēkā esošā Latvijas Sociālā klimata fonda plānā 2026.–2032. gadam pieejamo informāciju, tiek secināts, ka nav nepieciešams papildus finansējums NEKP 3.1.1.7. 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 saprotams, kā ir iegūts skaitlis 8300, izmantojot anotācijā aprakstītos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izstrādes laikā ir izmantoti dati no dažādiem informācijas avotiem, kas ne vienmēr sniedz vienotu pieeju uz konkrētu datumu vai laika posmu. Līdz ar to datu apstrāde un to interpretācija tiek veikta atbilstoši norādāmās informācijas kontekstam. Vienlaikus ir jāņem vērā, ka MK noteikumu projekta izstrāde, sabiedrības līdzdalība, starpministriju saskaņošana un apstiprināšana aizņem vairākus mēnešus, kā rezultātā katrā no posmiem mainās datu skaitliskās vērtības utt.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vērš uzmanību uz to, ka minētais aprēķins ir indikatīvs, lai novērtētu potenciālo nepieciešamo finansējuma apjomu videi draudzīgu transportlīdzekļu iegādei, un ir atkarīgs no daudziem aspektiem, gan iekšējiem (saistībā ar MK noteikumu prasībām), gan ārējiem (citām atbalsta programmām, privātā finansējuma piesaiste un tml.).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3.1.1.7. pasākums paredz palielināt bezemisiju vieglo pasažieru transportlīdzekļu skaitu, t.i. pasākuma ietvaros līdz 2030.gadam ir nepieciešams sasniegt 20 000 bezemisiju transportlīdzekļus, piesaistot ES fondu, EKII, Modernizācijas fonda un privāto finansējumu. Ar bezemisiju transportlīdzekļiem tiek saprasti gan elektromobiļi, gan ūdeņraža automobiļi.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2024.gada jūliju (Aktualizētā nacionālā enerģētikas un klimata plāna 2021.-2030.gadam (NEKP) apstiprināšanas mēnesis) Latvijā bija reģistrēti 7549 elektromobiļi (N1 kategorija), t.i. tiek pieņemts bāzes līmenis "7549=0".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2024.gada 1.jūlija (NEKP apstiprināšanas mēnesis) līdz 2026.gada 1.janvārim (aktuālie CSDD dati) ir iegādāti 6367 elektromobiļi (N1 kategorija).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sasniegtu minētā NEKP pasākuma noteikto mērķi līdz 2030.gadam pasākuma ietvaros sasniegt 20 000 elektromobiļus ir nepieciešams nodrošināt vēl 13 633 elektromobiļu iegādi (20 000 - 6367=13 633).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Modernizācijas fonda projektu konkursa "Energoefektivitātes paaugstināšana transporta sektorā – atbalsts elektromobiļu un to uzlādes infrastruktūras ieviešanai" ietvaros tuvākajos gados plānots sniegt atbalsts indikatīvi 877 elektromobiļu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Sociālā klimata fonda plāna 2026.-2032.gadam projektu konkursu ietvaros (saskaņā ar plāna aktuālo darba versiju)  līdz 2032.gadam ir plānots sniegt atbalstu indikatīvi 4000-4428 elektromobiļiem.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Tiek pieņemts, ka citu valsts atbalsta programmu elektromobiļu veicināšanai (iegādei) vairs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Tiek pieņemts, ka ūdeņraža automobiļu īpatsvars ir niecīgs, .ti. tuvu "0".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Līdz ar to jaunās EKII atbalsta programmas (MK noteikumu projekta) ietvaros </w:t>
            </w:r>
            <w:r w:rsidR="00000000" w:rsidRPr="00000000" w:rsidDel="00000000">
              <w:rPr>
                <w:b w:val="1"/>
                <w:rtl w:val="0"/>
              </w:rPr>
              <w:t xml:space="preserve">indikatīvais atbalstāmo elektromobiļu skaits būtu 8328</w:t>
            </w:r>
            <w:r w:rsidR="00000000" w:rsidRPr="00000000" w:rsidDel="00000000">
              <w:rPr>
                <w:rtl w:val="0"/>
              </w:rPr>
              <w:t xml:space="preserve"> (13 633-877-4428=8328).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Ņemot vērā EKII pieredzi par viena atbalstītā transportlīdzekļa vidējo cenu - 4845 euro, atbalsta programmas kopējais finansējums būtu ap </w:t>
            </w:r>
            <w:r w:rsidR="00000000" w:rsidRPr="00000000" w:rsidDel="00000000">
              <w:rPr>
                <w:i w:val="1"/>
                <w:rtl w:val="0"/>
              </w:rPr>
              <w:t xml:space="preserve">(noapaļojot uz leju)</w:t>
            </w:r>
            <w:r w:rsidR="00000000" w:rsidRPr="00000000" w:rsidDel="00000000">
              <w:rPr>
                <w:rtl w:val="0"/>
              </w:rPr>
              <w:t xml:space="preserve"> 40 milj.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29.04.2025. sēdes protokola Nr. 17 33.§ trešajā punktā ir rakstīts: “Klimata un enerģētikas ministrijai </w:t>
            </w:r>
            <w:r w:rsidR="00000000" w:rsidRPr="00000000" w:rsidDel="00000000">
              <w:rPr>
                <w:u w:val="single"/>
                <w:rtl w:val="0"/>
              </w:rPr>
              <w:t xml:space="preserve">līdz 2025. gada 1. oktobrim</w:t>
            </w:r>
            <w:r w:rsidR="00000000" w:rsidRPr="00000000" w:rsidDel="00000000">
              <w:rPr>
                <w:rtl w:val="0"/>
              </w:rPr>
              <w:t xml:space="preserve"> nodrošināt Metodikas klimata pārmaiņu mazināšanas pasākumu sagatavošanai un izmaksu efektivitātes izvērtējumam Emisijas kvotu izsolīšanas instrumenta ietvaros izstrādi un Emisijas kvotu izsolīšanas instrumenta darbības stratēģijas sagatavošanu un noteiktā kārtībā iesniegt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(turpmāk, FM) 13.10.2025 vēstulē Nr. 2.1-10/3-3/3045 lūdzām Klimata un enerģētikas ministrijai (turpmāk, KEM) sniegt informāciju par Emisijas kvotu izsolīšanas instrumenta darbības stratēģiju un tās izstrādes statusu. KEM 13.11.2025. informēja, ka informatīvais ziņojums par izsoļu ieņēmumu izmantošanu </w:t>
            </w:r>
            <w:r w:rsidR="00000000" w:rsidRPr="00000000" w:rsidDel="00000000">
              <w:rPr>
                <w:u w:val="single"/>
                <w:rtl w:val="0"/>
              </w:rPr>
              <w:t xml:space="preserve">ir izstrādes stadijā un tā tālāka virzība tiks uzsākta līdz šā 2025.g. beigām</w:t>
            </w:r>
            <w:r w:rsidR="00000000" w:rsidRPr="00000000" w:rsidDel="00000000">
              <w:rPr>
                <w:rtl w:val="0"/>
              </w:rPr>
              <w:t xml:space="preserve">, ņemot vērā ārpakalpojuma ietvaros “Metodikas izstrāde, klimata pārmaiņu mazināšanas pasākumu sagatavošana un to izvērtēšana Emisijas kvotu izsolīšanas instrumenta ietvaros” veiktos uzdevumus un Ekonomiskās ilgtspējas likuma virzības gaitu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spēkā esošajā Klimatnoturības un ekonomiskās ilgtspējas likuma 15. panta pirmajā daļā minēts “Klimata un enerģētikas ministrija iesniedz Ministru kabinetam informatīvo ziņojumu par emisijas kvotu izsoļu ieņēmumu izmantošanas stratēģiju, ietverot prioritāros virzienus izsoļu ieņēmumu izmantošanai.”.  Taču pārejas noteikumos “Šā likuma 15. panta pirmajā daļā minēto i</w:t>
            </w:r>
            <w:r w:rsidR="00000000" w:rsidRPr="00000000" w:rsidDel="00000000">
              <w:rPr>
                <w:u w:val="single"/>
                <w:rtl w:val="0"/>
              </w:rPr>
              <w:t xml:space="preserve">nformatīvo ziņojumu Klimata un enerģētikas ministrija iesniedz izskatīšanai Ministru kabinetā līdz 2026. gada 28. februārim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ir ļoti būtiski norādīt ne vien EKII finansējuma efektivitāti, bet arī paša pasākuma kopējo efektivitāti un alternatīvos risinājumus (anotācijā norādīts, ka alternatīvie risinājumi nav izvērtēti). Ekonomikā ir ierobežots resursu daudzums, tajā skaitā finanšu (privātais + publiskais). Turpretim ir daudz dažādu pasākumu kurus ieviest, lai samazinātu SEG emisijas, kur publiskais finansējums būtiski ietekmē privāto investīciju novirzīšanu. Ja tiek atbalstīti neefektīvāki pasākumi, rodas alternatīvās izmaksas un klimatneitralitētes sasniegšana labākajā gadījumā kļūst tikai dārgāka. Sliktākajā gadījumā klimatneitralitātes sasniegšana kļūst neiespējama, jo pietrūkst finanšu resursu tās sasniegšanai. Norādām arī, ka Fizikālās enerģētikas institūta vērtētajos pasākumos ir norādīts, ka</w:t>
            </w:r>
            <w:r w:rsidR="00000000" w:rsidRPr="00000000" w:rsidDel="00000000">
              <w:rPr>
                <w:b w:val="1"/>
                <w:rtl w:val="0"/>
              </w:rPr>
              <w:t xml:space="preserve"> “Bezemisiju vieglās automašīnas, aizvietojot iekšdedzes dzinēju automašīnas” ir vairākas reizes neefektīvāks par alternatīviem risinājumiem SEG emisiju samazināšanai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Līdz ar to FM neredz pamatojumu sasteigt finansējuma izlietošanu pirms iepriekš minētā informatīvā ziņojuma pieņemšanas Ministru kabinetā, lai finansējums tiktu novirzīts pēc iespējas efektīvāk un saskaņā ar iepriekš minēto stratēģiju</w:t>
            </w:r>
            <w:r w:rsidR="00000000" w:rsidRPr="00000000" w:rsidDel="00000000">
              <w:rPr>
                <w:b w:val="1"/>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Ministrija apzinās Metodikas klimata pārmaiņu mazināšanas pasākumu sagatavošanai un izmaksu efektivitātes izvērtējumam un Emisijas kvotu izsolīšanas ieņēmumu izmantošanas stratēģijas būtisko lomu klimata finanšu instrumentu darbības nodrošināšanā. Informējam, ka Ministrija veic minēto dokumentu sagatavošanu, ņemot vērā gan NEKP ietvertos pasākumus, gan Klimatnoturības un ekonomiskās ilgtspējas likumā noteiktos finansējuma izmantošanas virzienus, gan Valsts kontroles lietderības revīzijās veiktos konstatējumus un sniegtos priekšlikumus, kā arī 2025.gada nogalē KPMG Baltics veiktā pētījuma "Emisijas kvotu izsolīšanas instrumenta klimata pārmaiņu mazināšanas pasākumi un pasākumu izvērtēšanas metodika"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Transporta sektors ir otrais lielākais SEG emisiju avots Latvijā, kurš 2023. gadā radīja 31,4% no kopējām SEG emisijām valstī. Lielākā daļa no transporta sektora SEG emisijām 2023. gadā ir radītas no autoceļa transporta (97,4 %), savukārt, autotransporta apakšsektorā lielākais SEG emisiju radītājs pa transportlīdzekļu grupām ir pasažieru automašīnas, kam seko kravas transportlīdzekļi un autobusi. NEKP transporta sektorā līdz 2030. gadam paredzēti 35 pasākumi, tajā skaitā mazemisiju un bezemisiju transportlīdzekļu iegādei no klimata finanšu instrumentiem (EKII un Modernizācijas fonds) un valsts budžeta līdzekļiem. Saskaņā ar 2025.gada nogalē KPMG Baltics veikto pētījumu "Emisijas kvotu izsolīšanas instrumenta klimata pārmaiņu mazināšanas pasākumi un pasākumu izvērtēšanas metodika", pasākumi attiecībā uz bezemisiju (ūdeņraža un elektromobiļu) transportlīdzekļu ieviešanu ir viens no efektīvākajiem pasākumiem ne tikai transporta sektorā, bet arī salīdzinot ar citiem tautsaimniecības sektoriem. Būtiski ir norādīt, ka datu un informācijas salīdzināšana starp pētījumiem faktiski ir ļoti grūti salīdzināma dažādo metodiku, ieejas datu un pieņēmumu dēļ. Līdz ar to svarīgi un reprezentatīvi ir izmantot tikai to informāciju (piem., CSP datus par energobilanci un tās izmaiņām), kas faktiski tiek izmantota emisiju aprēķinos un ziņošanai atbilstošajām iestādēm. Līdz ar to Ministrija  nepiekrīt, ka  atbalsta sniegšana mazemisiju un bezemisiju transportlīdzekļiem ir neefektīvs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projekta pēc iespējas ātrāka apstiprināšana MK sēdē ir būtiska vairāku aspektu dēļ: esošā ģeopolitiskā situācija un fosilo degvielu augstās cenas ir brīdis, kad valstij ir iespēja piedāvāt iedzīvotājiem alternatīvus risinājumus, tajā skaitā elektromobilitātes veicināšana, izmantojot vietējos energoresursus; pēc iespējas straujāka elektromobilitātes ieviešana veicinās ātrāku transporta jomas dekarbonizāciju, tādējādi sniedzot augstāku kumulatīvo emisiju ietaupījumu Latvijai notiekto mērķu sasniegšanā.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kā vienīgo mehānisko dzinējspēku izmanto enerģiju no transportlīdzeklī glabātā ūdeņraža (turpmāk – ūdeņraža automobilis);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šobrīd ir īstais laiks, kad atbalstāmo transportlīdzekļu sarakstā iekļaut ar ūdeņradi darbināmas mašīnas, ņemot vērā, ka Latvijā ir tikai viena ūdeņraža uzpildes stacija, turklāt ūdeņradi iegūst, izmantojot dabasgāzi nevis atjaunojamos resursus.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gan projekta iesniedzējam, gan atbalsta saņēmējam ir tiesības izvēlēties, kuru no konkursa ietvaros atbalstāmajām aktivitātēm īstenot, un šādas aktivitātes iekļaušana atbalstāmo aktivitāšu sarakstā neuzliek par pienākumu to īstenot, bet gan sniedz plašākas izvēles iespējas. Papildus iepriekš minētajam ūdeņraža transportlīdzekļu iekļaušanu atbalstāmo aktivitāšu sarakstā tika apspriesta jau 2024. gadā, kad tika izstrādāti grozījumi Emisijas kvotu izsolīšanas instrumenta finansēto projektu atklāta konkursa "Siltumnīcefekta gāzu emisijas samazināšana transporta sektorā – atbalsts bezemisiju un mazemisiju transportlīdzekļu iegādei" nolikumā, t.i., grozījumu (apstiprināti MK 17.12.2024.) anotācija paredz, ka Klimata un enerģētikas ministrija sadarbībā ar Satiksmes ministriju izstrādās nepieciešamos grozījumus MK noteikumos, lai no 2026. gada varētu sniegt atbalstu iedzīvotājiem ar ūdeņradi darbināmu transportlīdzekļu iegādei. Tādējādi, iedzīvotājiem tiks dota iespēja izdarīt plašāku izvēli klimatam draudzīgu transportlīdzekļu izmantošanai, vienlaikus veicinot atbilstošas infrastruktūras izveidi. Ņemot vērā, ka attiecīgā atbalsta programma ir noslēgusies, atbalsts ūdeņraža transportlīdzekļu iegādei tiek ietverts jaunajā atbalsta programmā.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atbalsta programma ir plānota kā ilgtermiņa atbalsta instruments līdz 2030. gadam. Ņemot vērā tehnoloģiju progresu un šādu transportlīdzekļu pieejamību tirgū, kā arī to, ka politikas plānošanas dokumenti paredz šādu transportlīdzekļu pieejamību un izmantošanu Latvijā ir būtiski nodrošināt tehnoloģisko neitralitāti un atbalsta pieejamību dažāda veida transportlīdzekļiem. Līdzīgi kā tas notika ar elektromobiļu attīstību, arī ūdeņraža automobiļu ražošanas izmaksas un cenas tirgū samazināsies, ļaujot jauniem modeļiem iekļauties noteiktajos cenu griestos. Jau šobrīd sekundārajā tirgū ir iespējams iegādāties lietotus ūdeņraža automobiļus par cenu līdz 45 000 eiro (bez PVN). Tas nozīmē, ka pašreizējais regulējums nav teorētisks, bet gan praktiski piemērojams.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kā vienīgo mehānisko dzinējspēku izmanto enerģiju no transportlīdzeklī glabātā ūdeņraža (turpmāk – ūdeņraža automobilis);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kā mehānisko dzinējspēku izmanto enerģiju no transportlīdzeklī glabātās elektroenerģijas vai dzinējspēka glabāšanas iekārtas, bet tam ir uzstādīts arī iekšdedzes dzinējs, un kopējās SEG emisijas ir līdz 50 g CO</w:t>
            </w:r>
            <w:r w:rsidR="00000000" w:rsidRPr="00000000" w:rsidDel="00000000">
              <w:rPr>
                <w:vertAlign w:val="subscript"/>
                <w:rtl w:val="0"/>
              </w:rPr>
              <w:t xml:space="preserve">2</w:t>
            </w:r>
            <w:r w:rsidR="00000000" w:rsidRPr="00000000" w:rsidDel="00000000">
              <w:rPr>
                <w:rtl w:val="0"/>
              </w:rPr>
              <w:t xml:space="preserve">/km atbilstoši pasaulē saskaņotās vieglo transportlīdzekļu testēšanas procedūras svērtajam kombinētajam ciklam (turpmāk – ārēji lādējams hibrīdauto).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no atbalsta saņemšanas iespējām izslēgt jaunu rūpnieciski ražotu M1 un N1 kategorijas ārēji lādējamu hibrīdauto iegādi.</w:t>
            </w:r>
            <w:r w:rsidR="00000000" w:rsidRPr="00000000" w:rsidDel="00000000">
              <w:rPr>
                <w:rtl w:val="0"/>
              </w:rPr>
              <w:t xml:space="preserve"> NEKP 3.1.1.7. pasākums paredz tikai bezemesiju transportlīdzekļu iegādi. Turklāt anotācijā norādīts, ka pasākuma efektivitāte ārēji lādējamu hibrīdauto iegādei ir ievērojami zemāka nekā elektromobiļu iegādei, savukārt PHEV atbalstam novirzītā finansējuma dēļ, vairāki potenciālie elektromobiļu pircēji nevarēja saņemt atbalstu. Arī OECD / International Transport Forum (https://www.itf-oecd.org/sites/default/files/repositories/how_can_electric_vehicle_subsidies_be_made_fairer_and_more_efficient.pdf) ir norādīts, lai panāktu maksimālu emisiju samazinājumu, subsīdijām jābūt vērstām uz nulles emisiju transportlīdzekļiem, nevis hibrīda elektrotransportlīdzekļiem. Savukārt anotācijā minētajā Eiropas Auto ražotāju asociācijas 2025. gada 3. aprīļa ziņojuma “Elektriskie transportlīdzekļi: nodokļu ieguvumi un iegādes stimuli" norādīts, ka līdzīgu atbalstu iedzīvotājiem sniedz vien 4 valstis. Papildus norādām, ka PHEV nav arī iekļauti aprēķinā, kuri nosaka nepieciešamo finansējumu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sektora dekarbonizācija lielā mērā ir saistāma tieši ar tā elektrifikāciju, t.sk. kombinētiem (pārejas) risinājumiem tādiem kā papildu elektroenerģijas izmantošana vienlaikus ar fosilo degvielu izmantošanu. Pētījumos (piemēram, bet ne tikai – </w:t>
            </w:r>
            <w:r w:rsidR="00000000" w:rsidRPr="00000000" w:rsidDel="00000000">
              <w:rPr>
                <w:i w:val="1"/>
                <w:rtl w:val="0"/>
              </w:rPr>
              <w:t xml:space="preserve">Prati, M.V. et al. (2021). Emissions and energy consumption of a plug-in hybrid passenger car in Real Driving Emission (RDE) test. Transportation Engineering, Volume 4, June 2021; Veza, I. et al. (2023). Electric vehicle (EV) and driving towards sustainability: Comparison between EV, HEV, PHEV, and ICE vehicles to achieve net zero emissions by 2050 from EV. Alexandria Engineering Journal, Volume 82, 1 November 2023)</w:t>
            </w:r>
            <w:r w:rsidR="00000000" w:rsidRPr="00000000" w:rsidDel="00000000">
              <w:rPr>
                <w:rtl w:val="0"/>
              </w:rPr>
              <w:t xml:space="preserve"> tiek uzsvērts, ka ārēji lādējami hibrīdauto uzrāda būtisku CO</w:t>
            </w:r>
            <w:r w:rsidR="00000000" w:rsidRPr="00000000" w:rsidDel="00000000">
              <w:rPr>
                <w:vertAlign w:val="subscript"/>
                <w:rtl w:val="0"/>
              </w:rPr>
              <w:t xml:space="preserve">2</w:t>
            </w:r>
            <w:r w:rsidR="00000000" w:rsidRPr="00000000" w:rsidDel="00000000">
              <w:rPr>
                <w:rtl w:val="0"/>
              </w:rPr>
              <w:t xml:space="preserve"> emisiju samazinājumu salīdzinājumā ar transportlīdzekļiem, kuri aprīkoti tikai ar iekšdedzes dzinējiem, kas padara tos atbilstošus noteiktajiem klimata politikas mērķiem, attiecīgi tiem ir potenciāls veicināt SEG emisiju samazinājumu transporta sektorā un kopējā SEG emisiju bilancē.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Revīzijas palātas 2024.gada pirmajā īpašajā ziņojumā “Vieglo automobiļu radīto oglekļa dioksīda emisiju samazināšana: temps beidzot paātrinās, taču ceļš nebūs tik gluds”: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skaidrots, ka iemesli būtiskajām atšķirībām starp atbilstības sertifikātos norādītajām un faktiski radītajām CO</w:t>
            </w:r>
            <w:r w:rsidR="00000000" w:rsidRPr="00000000" w:rsidDel="00000000">
              <w:rPr>
                <w:vertAlign w:val="subscript"/>
                <w:rtl w:val="0"/>
              </w:rPr>
              <w:t xml:space="preserve">2</w:t>
            </w:r>
            <w:r w:rsidR="00000000" w:rsidRPr="00000000" w:rsidDel="00000000">
              <w:rPr>
                <w:rtl w:val="0"/>
              </w:rPr>
              <w:t xml:space="preserve"> emisijām reālos braukšanas apstākļos ir saistāmi ar to, ka, lai gūtu pārliecību par CO</w:t>
            </w:r>
            <w:r w:rsidR="00000000" w:rsidRPr="00000000" w:rsidDel="00000000">
              <w:rPr>
                <w:vertAlign w:val="subscript"/>
                <w:rtl w:val="0"/>
              </w:rPr>
              <w:t xml:space="preserve">2</w:t>
            </w:r>
            <w:r w:rsidR="00000000" w:rsidRPr="00000000" w:rsidDel="00000000">
              <w:rPr>
                <w:rtl w:val="0"/>
              </w:rPr>
              <w:t xml:space="preserve"> vērtībām, ko ražotāji deklarējuši atbilstības sertifikātos, apstiprinātājām iestādēm ir jāpārbauda, vai ražotāji ir verificējuši CO</w:t>
            </w:r>
            <w:r w:rsidR="00000000" w:rsidRPr="00000000" w:rsidDel="00000000">
              <w:rPr>
                <w:vertAlign w:val="subscript"/>
                <w:rtl w:val="0"/>
              </w:rPr>
              <w:t xml:space="preserve">2</w:t>
            </w:r>
            <w:r w:rsidR="00000000" w:rsidRPr="00000000" w:rsidDel="00000000">
              <w:rPr>
                <w:rtl w:val="0"/>
              </w:rPr>
              <w:t xml:space="preserve"> emisijas obligātajam (uz katriem 5000 saražotajiem transportlīdzekļiem) ražoto transportlīdzekļu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regulējuma vienādu piemērošanu un izplatītu paraugpraksi, Eiropas Komisijai reizi piecos gados jāveic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atsevišķās dalībvalstīs netika gūta pārliecība, vai apstiprinātās iestādes faktiski ir veikušas nepieciešamās pārbaudes atbilstoši normatīvajiem aktiem, tādējādi konstatējot trūkumus ES normatīvo aktu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tikušas identificētas arī citas nepilnības, kas skaidri norāda uz to, ka nav pietiekamas pārliecības, ka atbilstības sertifikātos iekļautās CO</w:t>
            </w:r>
            <w:r w:rsidR="00000000" w:rsidRPr="00000000" w:rsidDel="00000000">
              <w:rPr>
                <w:vertAlign w:val="subscript"/>
                <w:rtl w:val="0"/>
              </w:rPr>
              <w:t xml:space="preserve">2</w:t>
            </w:r>
            <w:r w:rsidR="00000000" w:rsidRPr="00000000" w:rsidDel="00000000">
              <w:rPr>
                <w:rtl w:val="0"/>
              </w:rPr>
              <w:t xml:space="preserve"> vērtības ir pareizas. Tādēļ primāri būtu nepieciešams vērst uzmanību uz to, lai tiktu novērstas neadekvātas neatbilstības attiecībā uz atšķirībām starp atbilstības sertifikātos norādītajām un faktiski radītajām CO</w:t>
            </w:r>
            <w:r w:rsidR="00000000" w:rsidRPr="00000000" w:rsidDel="00000000">
              <w:rPr>
                <w:vertAlign w:val="subscript"/>
                <w:rtl w:val="0"/>
              </w:rPr>
              <w:t xml:space="preserve">2</w:t>
            </w:r>
            <w:r w:rsidR="00000000" w:rsidRPr="00000000" w:rsidDel="00000000">
              <w:rPr>
                <w:rtl w:val="0"/>
              </w:rPr>
              <w:t xml:space="preserve"> emisijām reālos braukšanas apstākļos, un transportlīdzekļi, kuru radītās CO</w:t>
            </w:r>
            <w:r w:rsidR="00000000" w:rsidRPr="00000000" w:rsidDel="00000000">
              <w:rPr>
                <w:vertAlign w:val="subscript"/>
                <w:rtl w:val="0"/>
              </w:rPr>
              <w:t xml:space="preserve">2</w:t>
            </w:r>
            <w:r w:rsidR="00000000" w:rsidRPr="00000000" w:rsidDel="00000000">
              <w:rPr>
                <w:rtl w:val="0"/>
              </w:rPr>
              <w:t xml:space="preserve"> emisijas pārsniedz noteiktās robežvērtības, netiktu klasificēti kā zemu emisiju transportlīdzekļi, vienlaikus sniedzot patērētājiem korektu informāciju, kas potenciāli atstātu ietekmi uz to izvēli attiecībā uz transportlīdzekļa iegādi. Savukārt transportlīdzekļu ražotājus motivētu samazināt neatbilstības starp testētajām CO</w:t>
            </w:r>
            <w:r w:rsidR="00000000" w:rsidRPr="00000000" w:rsidDel="00000000">
              <w:rPr>
                <w:vertAlign w:val="subscript"/>
                <w:rtl w:val="0"/>
              </w:rPr>
              <w:t xml:space="preserve">2</w:t>
            </w:r>
            <w:r w:rsidR="00000000" w:rsidRPr="00000000" w:rsidDel="00000000">
              <w:rPr>
                <w:rtl w:val="0"/>
              </w:rPr>
              <w:t xml:space="preserve"> emisijām laboratorijas apstākļos un reālās braukšanas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ziņojumā ir norādīts, ka attiecībā uz ārēji lādējamiem hibrīdauto, CO</w:t>
            </w:r>
            <w:r w:rsidR="00000000" w:rsidRPr="00000000" w:rsidDel="00000000">
              <w:rPr>
                <w:vertAlign w:val="subscript"/>
                <w:rtl w:val="0"/>
              </w:rPr>
              <w:t xml:space="preserve">2</w:t>
            </w:r>
            <w:r w:rsidR="00000000" w:rsidRPr="00000000" w:rsidDel="00000000">
              <w:rPr>
                <w:rtl w:val="0"/>
              </w:rPr>
              <w:t xml:space="preserve"> emisijas bija augstākas kā laboratoriskos apstākļos izmērītās, tomēr no datiem var arī secināt, ka tie vidēji emitē mazāk CO</w:t>
            </w:r>
            <w:r w:rsidR="00000000" w:rsidRPr="00000000" w:rsidDel="00000000">
              <w:rPr>
                <w:vertAlign w:val="subscript"/>
                <w:rtl w:val="0"/>
              </w:rPr>
              <w:t xml:space="preserve">2</w:t>
            </w:r>
            <w:r w:rsidR="00000000" w:rsidRPr="00000000" w:rsidDel="00000000">
              <w:rPr>
                <w:rtl w:val="0"/>
              </w:rPr>
              <w:t xml:space="preserve"> nekā transportlīdzekļi, kuri aprīkoti tikai ar iekšdedzes dzinējiem, un iekšdedzes dzinējs biežāk kā prognozēts tiek izmantots tieši komersantiem piederošajos ārēji lādējamos hibrīdauto, kas varētu būt saistāms ar komersantu izsniegtajām degvielas kartēm, kā rezultātā darbiniekam par degvielu nav jāmaksā, tādēļ nav finansiāla stimula atkārtoti veikt transportlīdzekļa uzlādi.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iedzīvotāju izvēlei par labu ārēji lādējamu hibrīdauto iegādei var būt vairāki iemesli – individuālās vajadzības, braukšanas paradumi, transportlīdzekļa izmantošanas nolūks, vieta un diapazons, uzlādes infrastruktūras pieejamība (ne vien publiskā uzlādes infrastruktūra, bet arī tās pieejamību dzīvesvietās un darbavietās) un tās turpmākā attīstība Latvijā, tādēļ arguments, ka šiem transportlīdzekļiem biežāk kā prognozēts tiek izmantots iekšdedzes dzinējs, kas savukārt rada lielāku degvielas patēriņu un CO</w:t>
            </w:r>
            <w:r w:rsidR="00000000" w:rsidRPr="00000000" w:rsidDel="00000000">
              <w:rPr>
                <w:vertAlign w:val="subscript"/>
                <w:rtl w:val="0"/>
              </w:rPr>
              <w:t xml:space="preserve">2</w:t>
            </w:r>
            <w:r w:rsidR="00000000" w:rsidRPr="00000000" w:rsidDel="00000000">
              <w:rPr>
                <w:rtl w:val="0"/>
              </w:rPr>
              <w:t xml:space="preserve"> emisijas nav korekts. Vienlaikus, ārēji lādējamu hibrīdauto klāsts (modeļi) ir plašāks, it īpaši specifiskiem izmantošanas nolūkiem, un jaunu transportlīdzekļu t.sk. ārēji lādējamu hibrīdauto iegāde veicina Latvijas autoparka vidējā vecuma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datu interpretāciju un argumentētus secinājumus būtu nepieciešams analizēt informāciju lokālā – Latvijas – līmenī, t.sk. ņemot vērā braukšanas attālums, degvielu emisiju faktorus, patērēto degvielas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Inovatīvu produktu un risinājumu ieviešana transportlīdzekļos, tajā skaitā ārēji lādējamu hibrīdauto ražošanā un izmantošanā, notiek strauji, līdz ar to situācija kāda tā bija pirms, piemēram, 3-5 gadiem, kad ir veikti pētījumi, var krasi atšķirties uz 2026. gadā saražotajiem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ārēji lādējamiem hibrīdauto tiek saglabāts kā risinājums, lai veicinātu t.sk. gaisa kvalitātes uzlabošanu pilsētās un veicinātu iedzīvotājus pilnīgai pārejai uz elektromobiļu lietošanu ikdienā. Ārēji lādējamiem hibrīdauto kalpo kā būtisks starpposms lietotājiem bez privātas uzlādes infrastruktūras, mazinot bažas par nepietiekamo uzlādes staciju skaitu (piemēram, daudzīvokļu māju iekšpagalmos vai reģionos) un pakāpeniski veidojot elektromobiļu lietošanas paradumus. Kopumā, lai gan reālās emisijas ir atkarīgas no vadītāja rīcības, ārēji lādējamiem hibrīdauto atbalsts nodrošina iekļaujošu un elastīgu pāreju uz ilgtspējīgu transportu plašākai sabiedrības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2025. gadā tika ieviestas stingrākas testēšanas prasības </w:t>
            </w:r>
            <w:r w:rsidR="00000000" w:rsidRPr="00000000" w:rsidDel="00000000">
              <w:rPr>
                <w:i w:val="1"/>
                <w:rtl w:val="0"/>
              </w:rPr>
              <w:t xml:space="preserve">Worldwide Harmonized Light Vehicles Test Procedure (WTLP)</w:t>
            </w:r>
            <w:r w:rsidR="00000000" w:rsidRPr="00000000" w:rsidDel="00000000">
              <w:rPr>
                <w:rtl w:val="0"/>
              </w:rPr>
              <w:t xml:space="preserve">, ko izmanto, lai noteiktu automobiļu degvielas patēriņu, CO₂ emisijas un elektrisko nobraukumu, kas faktiski nozīmē ārēji lādējamu hibrīdauto stingrāku uzraudzību attiecībā uz uzstādītu iekšdedzes dzinēju, kura kopējās SEG emisijas ir līdz 50 g CO2/km. WLTP jaunie noteikumi būtiski maina āŗeji lādējamu hibrīdauto emisiju novērtēšanu un pēc 2025.–2027. gada  testēšanas metodikas daudzi ārēji lādējamo hibrīdauto vairs varētu neiekļauties šajā kategorijā.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ir noteikts vienāds atbalsta apmērs gan jaunā elektromobiļa, gan jaunā ārēji lādējamiem hibrīdauto iegādei, ar ko tiek sasniegts mērķis - mazināt kopējās emisijas un veicināt Latvijas autoparka vecuma mazināšanos. Vienāds atbalsta apmērs nav vērtējams kā ārēji lādējamiem hibrīdauto un elektromobiļa tehnoloģiskā ekvivalence, bet gan kā finansiālais instruments ātrākai autoparka dekarbonizācijai, aptverot pēc iespējas lielāku lietotāju skaitu pašreizējos infrastruktūras attīstības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līdzšinējo pieredzi atbalsta programmā “Siltumnīcefekta gāzu emisijas samazināšana transporta sektorā – atbalsts bezemisiju un mazemisiju transportlīdzekļu iegādei” var secināt, ka ārēji lādējamie hibrīdauto ir dārgāki nekā elektromobiļi: attiecīgi 35 995 EUR (bez PVN; bāzes komplektācija) un 40 018 EUR (bez PVN; bāzes komplektācija).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līdzšinējās atbalsta programmas ietvaros ārēji lādējamu hibrīdauto iegāde veidoja 26% no konkursa ietvaros kopā atbalstīto transportlīdzekļu skaita, kas parāda, ka iedzīvotāji pamatā jau šobrīd prioritizē tieši elektromobiļu iegādi.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kā mehānisko dzinējspēku izmanto enerģiju no transportlīdzeklī glabātās elektroenerģijas vai dzinējspēka glabāšanas iekārtas, bet tam ir uzstādīts arī iekšdedzes dzinējs, un kopējās SEG emisijas ir līdz 50 g CO</w:t>
            </w:r>
            <w:r w:rsidR="00000000" w:rsidRPr="00000000" w:rsidDel="00000000">
              <w:rPr>
                <w:vertAlign w:val="subscript"/>
                <w:rtl w:val="0"/>
              </w:rPr>
              <w:t xml:space="preserve">2</w:t>
            </w:r>
            <w:r w:rsidR="00000000" w:rsidRPr="00000000" w:rsidDel="00000000">
              <w:rPr>
                <w:rtl w:val="0"/>
              </w:rPr>
              <w:t xml:space="preserve">/km atbilstoši pasaulē saskaņotās vieglo transportlīdzekļu testēšanas procedūras svērtajam kombinētajam ciklam (turpmāk – ārēji lādējams hibrīdauto).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iesnieguma iesniedzējs ir valsts akciju sabiedrības "Ceļu satiksmes drošības direkcija" pārziņā esošajā transportlīdzekļu un to vadītāju valsts reģistrā reģistrēts komersants, kas normatīvajos aktos noteiktajā kārtībā ierīkojis un reģistrējis transportlīdzekļu tirdzniecības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papildināt ar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iesniedzējs ir transportlīdzekļu un to vadītāju valsts reģistrā reģistrēts komersants, kas normatīvajos aktos par transportlīdzekļu un to numurēto agregātu tirdzniecību noteiktajā kārtībā ierīkojis un reģistrējis transportlīdzekļu tirdzniecības vietu.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atbalsta saņēmēja īpašumā esoša viena M1 un N1 kategorijas transportlīdzekļa bezatlīdzības nodošana Ukrainas bruņotajiem spēkiem  ar mērķi sniegt tiešu atbalstu Ukrainas valsts aizsardzībai, ja minētais transportlīdzeklis ir aprīkots ar iekšdedzes dzinēju, ir reģistrēts Latvijas Republikā, ir reģistrēts atbalsta saņēmēja īpašumā un uz nodošanas brīdi ir derīga pielaide ceļu satiksmei.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8.5. un 8.7. apakšpunktā minēto norādi "ir derīga pielaide ceļu satiksmei" atbilstoši Ceļu satiksmes likumā lietotajai terminoloģijai, proti, tā 9. panta pirmās daļas 1. punkts paredz, ka Latvijas teritorijā ceļu satiksmē atļauts izmantot reģistrētus transportlīdzekļus, kuriem cita starp ir dota atļauja piedalīties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norādītie precizējumi atbilstoši terminoloģijai.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atbalsta saņēmēja īpašumā esoša viena M1 un N1 kategorijas transportlīdzekļa bezatlīdzības nodošana Ukrainas bruņotajiem spēkiem  ar mērķi sniegt tiešu atbalstu Ukrainas valsts aizsardzībai, ja minētais transportlīdzeklis ir aprīkots ar iekšdedzes dzinēju, ir reģistrēts Latvijas Republikā, ir reģistrēts atbalsta saņēmēja īpašumā un uz nodošanas brīdi tam ir dota atļauja piedalīties ceļu satiksmē.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vai </w:t>
            </w:r>
            <w:r w:rsidR="00000000" w:rsidRPr="00000000" w:rsidDel="00000000">
              <w:rPr>
                <w:rtl w:val="0"/>
              </w:rPr>
              <w:t xml:space="preserve">8.6. </w:t>
            </w:r>
            <w:r w:rsidR="00000000" w:rsidRPr="00000000" w:rsidDel="00000000">
              <w:rPr>
                <w:rtl w:val="0"/>
              </w:rPr>
              <w:t xml:space="preserve">apakšpunktā</w:t>
            </w:r>
            <w:r w:rsidR="00000000" w:rsidRPr="00000000" w:rsidDel="00000000">
              <w:rPr>
                <w:rtl w:val="0"/>
              </w:rPr>
              <w:t xml:space="preserve"> minētais transportlīdzeklis ir nozagts, atzīts par bojā gājušu vai ir bojāts, tad atbalsta saņēmējs līgumā par atbalsta saņemšanu noteiktās saistības var izpildīt, iegādājoties no piesaistītiem vai paša līdzekļiem atbilstoša veida (elektromobilis, ūdeņraža automobilis vai ārēji lādējams hibrīdauto) jaunu vai lietotu transportlīdzekli. Atbalsta saņēmēja nāves gadījumā, ja uz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vai </w:t>
            </w:r>
            <w:r w:rsidR="00000000" w:rsidRPr="00000000" w:rsidDel="00000000">
              <w:rPr>
                <w:rtl w:val="0"/>
              </w:rPr>
              <w:t xml:space="preserve">8.6. </w:t>
            </w:r>
            <w:r w:rsidR="00000000" w:rsidRPr="00000000" w:rsidDel="00000000">
              <w:rPr>
                <w:rtl w:val="0"/>
              </w:rPr>
              <w:t xml:space="preserve">apakšpunktā</w:t>
            </w:r>
            <w:r w:rsidR="00000000" w:rsidRPr="00000000" w:rsidDel="00000000">
              <w:rPr>
                <w:rtl w:val="0"/>
              </w:rPr>
              <w:t xml:space="preserve"> minēto transportlīdzekli nepretendē mantinieki, tad līgumā par atbalsta saņemšanu noteiktās saistības tiek uzskatītas par izpildītām.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Civillikuma 382. pantā definēts mantojuma jēdziens. Proti, mantojums ir kopība, kurā ietilpst visa kustamā un nekustamā manta, kā arī citiem atdodamās tiesības un saistības, kas mirušam piederējušas viņa nāves laikā. Šajā ziņā mirušo vai par mirušu izsludināto sauc par mantojuma atstājēju. Savukārt ar mantojuma iegūšanu uz mantinieku pāriet, līdz ar mantojuma atstājēja tiesībām, arī visas viņa saistības, izņemot tīri personiskās. (Sk., Civillikuma 705.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mantojuma kopībā ieskaitāma ne tikai esošā, bet arī vēlāk konstatētā manta, kā arī lietu tiesības (piemēram, īpašuma tiesības, īpašuma atsavināšanas aizliegums u.tml.), saistību tiesības (piemēram, no līgumiem izrietošās – pirkums, patapinājums, glabājums, aizdevums, dāvinājums u.tml.), tostarp visas mantojuma atstājēja parādu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pieņemot mantojumu, mantinieki pieņem pilnā apmērā arī saistības, kas izriet no saņemtā atbalsta, tostarp arī gadījumā, ja transportlīdzekļa īpašnieks ir līzinga devējs. Jebkurā gadījumā kreditoram ir izvēles brīvība attiecībā uz savu tiesību realizēšanu mantojuma lietā, atbilstoši piedāvātajai redakcijai, var arī nerealizēt kreditora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minēto noteikumu projekta kontekstā indikatīvi saskatāma cita situācija, ko lūdzam vērtēt. Proti, ja transportlīdzekļa iegāde tiek finansēta ar līzingu un tiek saņemts maksimālais atbalsts, tad atbalsta saņēmēja nāves gadījumā pie konkrētiem apstākļiem saistības tiek uzskatītas par izpildītām, savukārt auto īpašnieks (līzinga kompānija) automašīnu tālāk var atsavināt par tirgus vērtību, tādējādi gūstot nosacītu peļņu arī no saņemtā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saņēmēja nāve ir neparedzams gadījums, kas nevar tikt uzskatīts par mērķtiecīgu peļņas gūšanas shēmu līzinga devējiem, turklāt papildu kontroles mehānismu ieviešana radītu nesamērīgu administratīvo slogu un neattaisnotu iejaukšanos civiltiesiskajās attiecībās. Ņemot vērā, ka transportlīdzeklis turpina piedalīties satiksmē un sākotnējais mobilitātes mērķis tiek sasniegts, līzinga kompānijas peļņas gūšana no transportlīdzekļa realizācijas brīva tirgus apstākļos ir uzskatāma par standarta komercdarbības risku, kas neprasa valsts iejaukšanos. Tādējādi, ievērojot samērīguma principu un statistiski retos gadījumus, Ministrija neredz pamatu grozīt esošo noteikumu projektu šajā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vai </w:t>
            </w:r>
            <w:r w:rsidR="00000000" w:rsidRPr="00000000" w:rsidDel="00000000">
              <w:rPr>
                <w:rtl w:val="0"/>
              </w:rPr>
              <w:t xml:space="preserve">8.5. </w:t>
            </w:r>
            <w:r w:rsidR="00000000" w:rsidRPr="00000000" w:rsidDel="00000000">
              <w:rPr>
                <w:rtl w:val="0"/>
              </w:rPr>
              <w:t xml:space="preserve">apakšpunktā</w:t>
            </w:r>
            <w:r w:rsidR="00000000" w:rsidRPr="00000000" w:rsidDel="00000000">
              <w:rPr>
                <w:rtl w:val="0"/>
              </w:rPr>
              <w:t xml:space="preserve"> minētais transportlīdzeklis ir nozagts, atzīts par bojā gājušu vai ir bojāts, tad atbalsta saņēmējs līgumā par atbalsta saņemšanu noteiktās saistības var izpildīt, iegādājoties no piesaistītiem vai paša līdzekļiem atbilstoša veida (elektromobilis, ūdeņraža automobilis vai ārēji lādējams hibrīdauto) jaunu vai lietotu transportlīdzekli. Atbalsta saņēmēja nāves gadījumā, ja uz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vai </w:t>
            </w:r>
            <w:r w:rsidR="00000000" w:rsidRPr="00000000" w:rsidDel="00000000">
              <w:rPr>
                <w:rtl w:val="0"/>
              </w:rPr>
              <w:t xml:space="preserve">8.5. </w:t>
            </w:r>
            <w:r w:rsidR="00000000" w:rsidRPr="00000000" w:rsidDel="00000000">
              <w:rPr>
                <w:rtl w:val="0"/>
              </w:rPr>
              <w:t xml:space="preserve">apakšpunktā</w:t>
            </w:r>
            <w:r w:rsidR="00000000" w:rsidRPr="00000000" w:rsidDel="00000000">
              <w:rPr>
                <w:rtl w:val="0"/>
              </w:rPr>
              <w:t xml:space="preserve"> minēto transportlīdzekli nepretendē mantinieki, tad līgumā par atbalsta saņemšanu noteiktās saistības tiek uzskatītas par izpildītām.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projekta iesnieguma iesniedzējs, atbalsta saņēmējs vai persona, kura ir komersanta valdes vai padomes loceklis vai prokūrists, vai persona, kura ir pilnvarota pārstāvēt komersantu, ar tādu prokurora priekšrakstu par sodu vai tiesas spriedumu, kas stājies spēkā un kļuvis neapstrīdams un nepārsūdzams, ir atzīta par vainīgu vai tai ir piemērots piespiedu ietekmēšanas līdzeklis jebkurā no šādiem noziedzīgiem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nodrošināt konsekventu terminoloģiju, jo šobrīd vienuviet norādīts uz projekta iesnieguma iesniedzēju, bet cituviet komersantu.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salāgojot ar citviet noteikumu projektā izmantoto terminoloģiju.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projekta iesniedzējs, atbalsta saņēmējs vai persona, kura ir projekta iesniedzēja valdes vai padomes loceklis vai prokūrists, vai persona, kura ir pilnvarota pārstāvēt projekta iesniedzēju, ar tādu prokurora priekšrakstu par sodu vai tiesas spriedumu, kas stājies spēkā un kļuvis neapstrīdams un nepārsūdzams, ir atzīta par vainīgu vai tai ir piemērots piespiedu ietekmēšanas līdzeklis jebkurā no šādiem noziedzīgiem nodarījumiem: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projekta iesnieguma iesniedzējs, atbalsta saņēmējs vai persona, kura ir komersanta valdes vai padomes loceklis vai prokūrists, vai persona, kura ir pilnvarota pārstāvēt komersantu, ar tādu prokurora priekšrakstu par sodu vai tiesas spriedumu, kas stājies spēkā un kļuvis neapstrīdams un nepārsūdzams, ir atzīta par vainīgu vai tai ir piemērots piespiedu ietekmēšanas līdzeklis jebkurā no šādiem noziedzīgiem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ir veiksmīgi nodalīti gadījumi, kad iesniedzēji ir fiziskas personas un juridiskās personas (16.5. un 16.6. apakšpunkts), tomēr iesakām skaidrības labad apakšpunktos precizēt un izcelt, ka 16.5. apakšpunktā projekta iesniedzējs ir fiziska persona, savukārt 16.6. apakšpunktā - juridiska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16. punktā un tā apakšpunktos noteiktie kritēriji attiecināmi gan uz projekta iesniedzējiem - komersantiem, gan atbalsta saņēmējiem - fiziskām personām, minētais nodalījums atspoguļots arī abos apakšpunktos. Tostarp arī 16.5. apakšpunkts attiecināms gan uz projekta iesniedzējiem, gan atbalsta saņēmējiem, kā tas jau norādīts attiecīgajā apakšpunktā.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projekta iesniedzējs, atbalsta saņēmējs vai persona, kura ir projekta iesniedzēja valdes vai padomes loceklis vai prokūrists, vai persona, kura ir pilnvarota pārstāvēt projekta iesniedzēju, ar tādu prokurora priekšrakstu par sodu vai tiesas spriedumu, kas stājies spēkā un kļuvis neapstrīdams un nepārsūdzams, ir atzīta par vainīgu vai tai ir piemērots piespiedu ietekmēšanas līdzeklis jebkurā no šādiem noziedzīgiem nodarījumiem: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16.7.2. personas nodarbināšana bez rakstveidā noslēgta darba līguma vai nodokļu normatīvajos aktos noteiktajā termiņā par šo personu neiesniegta informatīvā deklarācija par darba ņēmējiem (minētā deklarācija iesniedzama par personām, kuras uzsāk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16.7.1. apakšpunkts tiktu integrēts 16.5.1. apakšpunkta uzskaitījumā, šo vairs nav nepieciešams izcelt kā atsevišķu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citus veiktos precizējumus, integrēts 16.7. apakšpunktā.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Lai pārbaudītu, vai projekta iesnieguma iesniedzējs nav atzīts par vainīgu kādā šo noteikumu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minētajiem noziedzīgajiem nodarījumiem un </w:t>
            </w:r>
            <w:r w:rsidR="00000000" w:rsidRPr="00000000" w:rsidDel="00000000">
              <w:rPr>
                <w:rtl w:val="0"/>
              </w:rPr>
              <w:t xml:space="preserve">16.7. </w:t>
            </w:r>
            <w:r w:rsidR="00000000" w:rsidRPr="00000000" w:rsidDel="00000000">
              <w:rPr>
                <w:rtl w:val="0"/>
              </w:rPr>
              <w:t xml:space="preserve">apakšpunktā</w:t>
            </w:r>
            <w:r w:rsidR="00000000" w:rsidRPr="00000000" w:rsidDel="00000000">
              <w:rPr>
                <w:rtl w:val="0"/>
              </w:rPr>
              <w:t xml:space="preserve"> minētajiem administratīvajiem pārkāpumiem, Vides investīciju fonds informāciju iegūst no Iekšlietu ministrijas Informācijas centra pārziņā esošās valsts informācijas sistēmas "Sodu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norāde "</w:t>
            </w:r>
            <w:r w:rsidR="00000000" w:rsidRPr="00000000" w:rsidDel="00000000">
              <w:rPr>
                <w:u w:val="single"/>
                <w:rtl w:val="0"/>
              </w:rPr>
              <w:t xml:space="preserve">projekta iesnieguma iesniedzējs</w:t>
            </w:r>
            <w:r w:rsidR="00000000" w:rsidRPr="00000000" w:rsidDel="00000000">
              <w:rPr>
                <w:rtl w:val="0"/>
              </w:rPr>
              <w:t xml:space="preserve"> nav atzīts par vainīgu" faktiski nav pārāk šaura, jo 16. punkts, tostarp 16.5., 16.7. apakšpunkts, paredz plašāku tiesību subjektu loku, ne vien projekta iesnieguma iesniedzēju.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attiecīgais punkts, normu attiecinot arī uz atbalsta saņēmējiem.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Lai pārbaudītu, vai projekta iesniedzējs vai atbalsta saņēmējs nav atzīts par vainīgu kādā no šo noteikumu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minētajiem noziedzīgajiem nodarījumiem un </w:t>
            </w:r>
            <w:r w:rsidR="00000000" w:rsidRPr="00000000" w:rsidDel="00000000">
              <w:rPr>
                <w:rtl w:val="0"/>
              </w:rPr>
              <w:t xml:space="preserve">16.7. </w:t>
            </w:r>
            <w:r w:rsidR="00000000" w:rsidRPr="00000000" w:rsidDel="00000000">
              <w:rPr>
                <w:rtl w:val="0"/>
              </w:rPr>
              <w:t xml:space="preserve">apakšpunktā</w:t>
            </w:r>
            <w:r w:rsidR="00000000" w:rsidRPr="00000000" w:rsidDel="00000000">
              <w:rPr>
                <w:rtl w:val="0"/>
              </w:rPr>
              <w:t xml:space="preserve"> minētajiem administratīvajiem pārkāpumiem, Vides investīciju fonds informāciju iegūst no Iekšlietu ministrijas Informācijas centra pārziņā esošās valsts informācijas sistēmas "Sodu reģistrs".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iesnieguma iesniedzējs konkursa ietvaros nodrošina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prasību izpildi visā projekta īstenošanas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"konkursa ietvaros", jo konkurss projekta īstenošanas laikā jau ir noslēdzies.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nodrošina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prasību izpildi visā projekta īstenošanas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Konkursa ietvaros pieļaujamā atbalsta intensitāte nepārsniedz 90 % no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un </w:t>
            </w:r>
            <w:r w:rsidR="00000000" w:rsidRPr="00000000" w:rsidDel="00000000">
              <w:rPr>
                <w:rtl w:val="0"/>
              </w:rPr>
              <w:t xml:space="preserve">8.6. </w:t>
            </w:r>
            <w:r w:rsidR="00000000" w:rsidRPr="00000000" w:rsidDel="00000000">
              <w:rPr>
                <w:rtl w:val="0"/>
              </w:rPr>
              <w:t xml:space="preserve">apakšpunktā</w:t>
            </w:r>
            <w:r w:rsidR="00000000" w:rsidRPr="00000000" w:rsidDel="00000000">
              <w:rPr>
                <w:rtl w:val="0"/>
              </w:rPr>
              <w:t xml:space="preserve"> minētā transportlīdzekļa pārdošanas cenas, nepārsniedzot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noteikto maksimālo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samazināt maksimāli pieļaujamā finanšu instrumenta atbalsta intensitāti (šobrīd nevar pārsniegt 90%), lai publiskais finansējums tiktu izlietots pēc iespējas efektīvāk.</w:t>
            </w:r>
            <w:r w:rsidR="00000000" w:rsidRPr="00000000" w:rsidDel="00000000">
              <w:rPr>
                <w:rtl w:val="0"/>
              </w:rPr>
              <w:t xml:space="preserve"> Uzskatām, ka subsīdijām jābūt pietiekami lielām, lai stimulētu pircējus, bet pietiekami mazām, lai neatbalstītu bezemesiju transportlīdzekļu iegādi, iepretim iekšdedzes dzinēja mašīnas iegādei, kas būtu notikusi jebkurā gadījumā. Līdz ar to atbalstam nevajadzētu būtiski pārsniegt cenu starpību starp elektromobili un līdzvērtīgu iekšdedzes auto. Līdzīgu viedokli no KEM puses var redzēt sabiedriskās apspriešanā, kur ir teikts “</w:t>
            </w:r>
            <w:r w:rsidR="00000000" w:rsidRPr="00000000" w:rsidDel="00000000">
              <w:rPr>
                <w:i w:val="1"/>
                <w:rtl w:val="0"/>
              </w:rPr>
              <w:t xml:space="preserve">Granta primārais mērķis ir mazināt sākotnējo izmaksu starpību starp bezemisiju vai mazemisiju transportlīdzekli un līdzvērtīgu iekšdedzes dzinēja transportlīdzekli, vienlaikus nodrošinot publisko līdzekļu efektīvu, ilgtspējīgu un mērķtiecīgu izmantošanu</w:t>
            </w:r>
            <w:r w:rsidR="00000000" w:rsidRPr="00000000" w:rsidDel="00000000">
              <w:rPr>
                <w:rtl w:val="0"/>
              </w:rPr>
              <w:t xml:space="preserve">.”. Savukārt pašreizējā tirgus situācijā elektromobiļi nav 10 reizes dārgāki kā līdzvērtīgas iekšdedzes dzinēju mašīnas, lai tāda atbalsta intensitāte būtu pamatota. Atbalsta intensitātes ierobežojumos varētu neiekļaut atbalstu, kas pienākas par 20.7. un 21.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atbalsta programmas ietvaros var veidoties situācijas, kurās transportlīdzekļa cena var kļūt līdzvērtīga atbalsta apmēram, jo īpaši gadījumos, ja tiek iegādāts lietots elektromobilis un atbalsta saņēmējs ir persona, kurai ir piešķirta Latvijas Goda ģimenes apliecība. Vienlaikus, šis nav standarta gadījums, ko apliecina arī līdzšinējā pieredze Emisijas kvotu izsolīšanas instrumenta finansēto projektu atklāta konkursa "Siltumnīcefekta gāzu emisijas samazināšana transporta sektorā – atbalsts bezemisiju un mazemisiju transportlīdzekļu iegādei" ietvaros, kur vidējais piešķirtais atbalsta apmērs vienam atbalsta saņēmējam bija 4640 euro un atbalsta saņēmēja līdzfinansējums ir būtiksi lielāks un ļoti plašā diapazonā. Tāpat svarīgi norādīt, ka maksimālās atbalsta likmes piemērošana varētu nebūt praktiski iespējama, ņemot vērā, ka atbalsta programmā ir ietverti divi būtiski nosacījumi attiecībā uz atbalstu lietotiem elektromobiļiem: elektromobiļa pirmās reģistrācijas datums ir ne vēlāks kā septiņi gadi pirms atbalsta saņemšanas un elektromobiļa nobraukums uz transportlīdzekļa pārdošanas brīdi ir ne vairāk kā 150 000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Konkursa ietvaros pieļaujamā atbalsta intensitāte nepārsniedz 90 % no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un </w:t>
            </w:r>
            <w:r w:rsidR="00000000" w:rsidRPr="00000000" w:rsidDel="00000000">
              <w:rPr>
                <w:rtl w:val="0"/>
              </w:rPr>
              <w:t xml:space="preserve">8.5. </w:t>
            </w:r>
            <w:r w:rsidR="00000000" w:rsidRPr="00000000" w:rsidDel="00000000">
              <w:rPr>
                <w:rtl w:val="0"/>
              </w:rPr>
              <w:t xml:space="preserve">apakšpunktā</w:t>
            </w:r>
            <w:r w:rsidR="00000000" w:rsidRPr="00000000" w:rsidDel="00000000">
              <w:rPr>
                <w:rtl w:val="0"/>
              </w:rPr>
              <w:t xml:space="preserve"> minētā transportlīdzekļa pārdošanas cenas, nepārsniedzot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noteikto maksimālo atbalsta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minētās aktivitātes ietvaros vienam elektromobilim, šo noteikumu </w:t>
            </w:r>
            <w:r w:rsidR="00000000" w:rsidRPr="00000000" w:rsidDel="00000000">
              <w:rPr>
                <w:rtl w:val="0"/>
              </w:rPr>
              <w:t xml:space="preserve">8.3. </w:t>
            </w:r>
            <w:r w:rsidR="00000000" w:rsidRPr="00000000" w:rsidDel="00000000">
              <w:rPr>
                <w:rtl w:val="0"/>
              </w:rPr>
              <w:t xml:space="preserve">apakšpunktā</w:t>
            </w:r>
            <w:r w:rsidR="00000000" w:rsidRPr="00000000" w:rsidDel="00000000">
              <w:rPr>
                <w:rtl w:val="0"/>
              </w:rPr>
              <w:t xml:space="preserve"> minētās aktivitātes ietvaros vienam ūdeņraža automobilim un un šo noteikumu </w:t>
            </w:r>
            <w:r w:rsidR="00000000" w:rsidRPr="00000000" w:rsidDel="00000000">
              <w:rPr>
                <w:rtl w:val="0"/>
              </w:rPr>
              <w:t xml:space="preserve">8.6. </w:t>
            </w:r>
            <w:r w:rsidR="00000000" w:rsidRPr="00000000" w:rsidDel="00000000">
              <w:rPr>
                <w:rtl w:val="0"/>
              </w:rPr>
              <w:t xml:space="preserve">apakšpunktā</w:t>
            </w:r>
            <w:r w:rsidR="00000000" w:rsidRPr="00000000" w:rsidDel="00000000">
              <w:rPr>
                <w:rtl w:val="0"/>
              </w:rPr>
              <w:t xml:space="preserve"> minētās aktivitātes ietvaros vienam ārēji lādējamam hibrīdauto – 6750</w:t>
            </w:r>
            <w:r w:rsidR="00000000" w:rsidRPr="00000000" w:rsidDel="00000000">
              <w:rPr>
                <w:i w:val="1"/>
                <w:rtl w:val="0"/>
              </w:rPr>
              <w:t xml:space="preserve"> euro</w:t>
            </w:r>
            <w:r w:rsidR="00000000" w:rsidRPr="00000000" w:rsidDel="00000000">
              <w:rPr>
                <w:rtl w:val="0"/>
              </w:rPr>
              <w:t xml:space="preserve">, ja atbalsta saņēmējs ir persona, kurai ir piešķirta Latvijas Goda ģimenes apliecība, un tiek iegādāts transportlīdzeklis ar vismaz piecām sēdvietām;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noteikumu projekta 20. punkta apakšpunktus ("un un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20.2.apakšpunkts.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minētās aktivitātes ietvaros vienam elektromobilim, šo noteikumu </w:t>
            </w:r>
            <w:r w:rsidR="00000000" w:rsidRPr="00000000" w:rsidDel="00000000">
              <w:rPr>
                <w:rtl w:val="0"/>
              </w:rPr>
              <w:t xml:space="preserve">8.3. </w:t>
            </w:r>
            <w:r w:rsidR="00000000" w:rsidRPr="00000000" w:rsidDel="00000000">
              <w:rPr>
                <w:rtl w:val="0"/>
              </w:rPr>
              <w:t xml:space="preserve">apakšpunktā</w:t>
            </w:r>
            <w:r w:rsidR="00000000" w:rsidRPr="00000000" w:rsidDel="00000000">
              <w:rPr>
                <w:rtl w:val="0"/>
              </w:rPr>
              <w:t xml:space="preserve"> minētās aktivitātes ietvaros vienam ūdeņraža automobilim un šo noteikumu </w:t>
            </w:r>
            <w:r w:rsidR="00000000" w:rsidRPr="00000000" w:rsidDel="00000000">
              <w:rPr>
                <w:rtl w:val="0"/>
              </w:rPr>
              <w:t xml:space="preserve">8.5. </w:t>
            </w:r>
            <w:r w:rsidR="00000000" w:rsidRPr="00000000" w:rsidDel="00000000">
              <w:rPr>
                <w:rtl w:val="0"/>
              </w:rPr>
              <w:t xml:space="preserve">apakšpunktā</w:t>
            </w:r>
            <w:r w:rsidR="00000000" w:rsidRPr="00000000" w:rsidDel="00000000">
              <w:rPr>
                <w:rtl w:val="0"/>
              </w:rPr>
              <w:t xml:space="preserve"> minētās aktivitātes ietvaros vienam ārēji lādējamam hibrīdauto – 6750</w:t>
            </w:r>
            <w:r w:rsidR="00000000" w:rsidRPr="00000000" w:rsidDel="00000000">
              <w:rPr>
                <w:i w:val="1"/>
                <w:rtl w:val="0"/>
              </w:rPr>
              <w:t xml:space="preserve"> euro</w:t>
            </w:r>
            <w:r w:rsidR="00000000" w:rsidRPr="00000000" w:rsidDel="00000000">
              <w:rPr>
                <w:rtl w:val="0"/>
              </w:rPr>
              <w:t xml:space="preserve">, ja atbalsta saņēmējs ir persona, kurai ir piešķirta Latvijas Goda ģimenes apliecība, un tiek iegādāts transportlīdzeklis ar vismaz piecām sēdvietām;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vai </w:t>
            </w:r>
            <w:r w:rsidR="00000000" w:rsidRPr="00000000" w:rsidDel="00000000">
              <w:rPr>
                <w:rtl w:val="0"/>
              </w:rPr>
              <w:t xml:space="preserve">8.6. </w:t>
            </w:r>
            <w:r w:rsidR="00000000" w:rsidRPr="00000000" w:rsidDel="00000000">
              <w:rPr>
                <w:rtl w:val="0"/>
              </w:rPr>
              <w:t xml:space="preserve">apakšpunktā</w:t>
            </w:r>
            <w:r w:rsidR="00000000" w:rsidRPr="00000000" w:rsidDel="00000000">
              <w:rPr>
                <w:rtl w:val="0"/>
              </w:rPr>
              <w:t xml:space="preserve"> minētais transportlīdzeklis nav saņēmis atbalstu finanšu instrumenta, citu finansējuma programmu ietvaros vai individuālā atbalsta projekta ietvaros no citiem finanšu instrumentiem, tai skaitā no Eiropas Savienības vai ārvalstu finanšu palīdzības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transportlīdzeklis nevar saņemt finanšu atbalstu, tādēļ lūdzam redakcionāli precizēt, norādot subjektu, kurš nav saņēmis atbalstu, vai atbalstāmo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MK noteikumu projekta 23.1.apakšpunkts. Informējam, ka konkrētā norma vērsta uz konkursa ietvaros iegādājamo transportlīdzekli, ne atbalsta saņēmēju.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par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vai </w:t>
            </w:r>
            <w:r w:rsidR="00000000" w:rsidRPr="00000000" w:rsidDel="00000000">
              <w:rPr>
                <w:rtl w:val="0"/>
              </w:rPr>
              <w:t xml:space="preserve">8.5. </w:t>
            </w:r>
            <w:r w:rsidR="00000000" w:rsidRPr="00000000" w:rsidDel="00000000">
              <w:rPr>
                <w:rtl w:val="0"/>
              </w:rPr>
              <w:t xml:space="preserve">apakšpunktā</w:t>
            </w:r>
            <w:r w:rsidR="00000000" w:rsidRPr="00000000" w:rsidDel="00000000">
              <w:rPr>
                <w:rtl w:val="0"/>
              </w:rPr>
              <w:t xml:space="preserve"> minēto transportlīdzekli nav saņemts atbalsts finanšu instrumenta, citu finansējuma programmu ietvaros vai individuālā atbalsta projekta ietvaros no citiem finanšu instrumentiem, tajā skaitā no Eiropas Savienības vai ārvalstu finanšu palīdzības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šo noteikumu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8.4. </w:t>
            </w:r>
            <w:r w:rsidR="00000000" w:rsidRPr="00000000" w:rsidDel="00000000">
              <w:rPr>
                <w:rtl w:val="0"/>
              </w:rPr>
              <w:t xml:space="preserve">apakšpunktā</w:t>
            </w:r>
            <w:r w:rsidR="00000000" w:rsidRPr="00000000" w:rsidDel="00000000">
              <w:rPr>
                <w:rtl w:val="0"/>
              </w:rPr>
              <w:t xml:space="preserve"> minētajā aktivitātē elektromobiļa pirmās reģistrācijas datums ir ne vēlāks kā septiņi gadi pirms atbalsta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23.3. un 23.4. apakšpunktu, jo šo noteikumu 8.4. apakšpunkta aktivitāte paredz ūdeņraža automobiļa, nevis elektromobiļa 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attiecīgie noteikumu projekta apakšpunkti.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šo noteikumu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8.4. </w:t>
            </w:r>
            <w:r w:rsidR="00000000" w:rsidRPr="00000000" w:rsidDel="00000000">
              <w:rPr>
                <w:rtl w:val="0"/>
              </w:rPr>
              <w:t xml:space="preserve">apakšpunktā</w:t>
            </w:r>
            <w:r w:rsidR="00000000" w:rsidRPr="00000000" w:rsidDel="00000000">
              <w:rPr>
                <w:rtl w:val="0"/>
              </w:rPr>
              <w:t xml:space="preserve"> minētajā aktivitātē transportlīdzekļa pirmās reģistrācijas datums ir ne vēlāks kā septiņi gadi pirms atbalsta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tās atbilst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salāgot ar 24. punktu, kas jau paredz, ka šo noteikumu 24. punktā minētas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25.1.apakšpunkts svītrots, novēršot tiesību normu dublēšanos.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atbalsta saņēmējs un, ja tiek izmantots šo noteikumu </w:t>
            </w:r>
            <w:r w:rsidR="00000000" w:rsidRPr="00000000" w:rsidDel="00000000">
              <w:rPr>
                <w:rtl w:val="0"/>
              </w:rPr>
              <w:t xml:space="preserve">60. </w:t>
            </w:r>
            <w:r w:rsidR="00000000" w:rsidRPr="00000000" w:rsidDel="00000000">
              <w:rPr>
                <w:rtl w:val="0"/>
              </w:rPr>
              <w:t xml:space="preserve">punktā</w:t>
            </w:r>
            <w:r w:rsidR="00000000" w:rsidRPr="00000000" w:rsidDel="00000000">
              <w:rPr>
                <w:rtl w:val="0"/>
              </w:rPr>
              <w:t xml:space="preserve"> minētais līzinga pakalpojums, līzinga devējs nodrošina, ka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vai </w:t>
            </w:r>
            <w:r w:rsidR="00000000" w:rsidRPr="00000000" w:rsidDel="00000000">
              <w:rPr>
                <w:rtl w:val="0"/>
              </w:rPr>
              <w:t xml:space="preserve">8.6. </w:t>
            </w:r>
            <w:r w:rsidR="00000000" w:rsidRPr="00000000" w:rsidDel="00000000">
              <w:rPr>
                <w:rtl w:val="0"/>
              </w:rPr>
              <w:t xml:space="preserve">apakšpunktā</w:t>
            </w:r>
            <w:r w:rsidR="00000000" w:rsidRPr="00000000" w:rsidDel="00000000">
              <w:rPr>
                <w:rtl w:val="0"/>
              </w:rPr>
              <w:t xml:space="preserve"> minētās aktivitātes ietvaros iegādātais transportlīdzeklis netiek atsavināts vismaz piecus gadus kopš tā iegādes brīža vai kamēr ar to veikts vismaz 52 000 km nobraukums (no brīža, kad transportlīdzeklis reģistrēts atbalsta saņēmēja īpašumā vai turējumā), ja tas tiek sasniegts mazāk nekā piecos gados, izņemot gadījumu, kad iegādātais transportlīdzeklis ir nolaupīts vai atzīts par bojā gājušu tādu apstākļu dēļ, kur nav konstatēta atbalsta saņēmēja vaina, un īpašuma tiesības uz transportlīdzekli iegūst apdrošināšanas 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norma nebūtu papildināma, lietojot, piemēram, šādu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iegādātais transportlīdzeklis ir nozagts, nolaupīts, eksplodējis, iznīcināts vai kļuvis nederīgs lietošanai, un minētos faktus apstiprina apdrošinātāja lēmums par transportlīdzekļa norakstīšanu.”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piedaloties ceļu satiksmē, var būt situācijas, kad transportlīdzeklis tiek iznīcināts vai kļūst nederīgs lietošanai arī atbalsta saņēmēja vainas dēļ, tomēr apdrošinātājs nosedz visus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vērtēt, vai nebūtu situācijas, kurās, piemēram, apdrošinātājam būtu pienākums nosegt izsniegto atbalstu daļējā apmērā. Pašreizējā redakcija teorētiski paredz, ka, ja transportlīdzeklis tiek nozagts drīz pēc tā iegādes, atbalsta saņēmējam nav pienākuma segt saņemto atbalstu, bet īpašnieks — kas var būt atbalsta saņēmējs vai līzinga devējs — no apdrošinātāja saņem pilnu transportlīdzekļa vērtības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daļēji ņemts vērā, precizējot MK noteikumu projekta 25.5.apakšpunktu.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atbalsta saņēmējs un, ja tiek izmantots šo noteikumu </w:t>
            </w:r>
            <w:r w:rsidR="00000000" w:rsidRPr="00000000" w:rsidDel="00000000">
              <w:rPr>
                <w:rtl w:val="0"/>
              </w:rPr>
              <w:t xml:space="preserve">62. </w:t>
            </w:r>
            <w:r w:rsidR="00000000" w:rsidRPr="00000000" w:rsidDel="00000000">
              <w:rPr>
                <w:rtl w:val="0"/>
              </w:rPr>
              <w:t xml:space="preserve">punktā</w:t>
            </w:r>
            <w:r w:rsidR="00000000" w:rsidRPr="00000000" w:rsidDel="00000000">
              <w:rPr>
                <w:rtl w:val="0"/>
              </w:rPr>
              <w:t xml:space="preserve"> minētais līzinga pakalpojums, līzinga devējs nodrošina, ka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vai </w:t>
            </w:r>
            <w:r w:rsidR="00000000" w:rsidRPr="00000000" w:rsidDel="00000000">
              <w:rPr>
                <w:rtl w:val="0"/>
              </w:rPr>
              <w:t xml:space="preserve">8.5. </w:t>
            </w:r>
            <w:r w:rsidR="00000000" w:rsidRPr="00000000" w:rsidDel="00000000">
              <w:rPr>
                <w:rtl w:val="0"/>
              </w:rPr>
              <w:t xml:space="preserve">apakšpunktā</w:t>
            </w:r>
            <w:r w:rsidR="00000000" w:rsidRPr="00000000" w:rsidDel="00000000">
              <w:rPr>
                <w:rtl w:val="0"/>
              </w:rPr>
              <w:t xml:space="preserve"> minētās aktivitātes ietvaros iegādātais transportlīdzeklis netiek atsavināts vismaz piecus gadus kopš tā iegādes brīža vai kamēr ar to veikts vismaz 60 000 km nobraukums (no brīža, kad transportlīdzeklis reģistrēts atbalsta saņēmēja īpašumā vai turējumā), ja tas tiek sasniegts mazāk nekā piecos gados, izņemot gadījumu, kad iegādātais transportlīdzeklis ir nozagts, nolaupīts, eksplodējis, iznīcināts vai kļuvis nederīgs lietošanai un minētos faktus apstiprina apdrošinātāja lēmums par transportlīdzekļa norakstīšanu;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25.8.2. ir izsniegts AS "Ceļu satiksmes drošības direkcija" dokuments par transportlīdzekļa pārreģistrāciju no atbalsta saņēmēja uz nevalstisko organizāciju, izsniegtās tranzīta numuru kartes kopija un Ukrainas muitas deklarācijas par ievesto transportlīdzekli Ukrainā kopija;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- 31.03.2026.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CSDD ir valsts akciju sabiedrība, līdz ar to lūdzam lietot pareizu nosaukumu - VAS "Ceļu satiksmes drošības direkcija".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attiecīgajā MK noteikumu projekta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26.7.2. ir izsniegts VAS "Ceļu satiksmes drošības direkcija" dokuments par transportlīdzekļa pārreģistrāciju no atbalsta saņēmēja uz nevalstisko organizāciju, izsniegtās tranzīta numuru kartes kopija un Ukrainas muitas deklarācijas par ievesto transportlīdzekli Ukrainā kopija;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projekta iesnieguma veidlapu sagatavo DOC, DOCX vai PDF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konkrētajā detalizācijas pakāpē noteikumu projektā (ārējā normatīvajā aktā) aprakstīt projekta iesnieguma veidlapas sagatavošanu. Ierosinām tā vietā vadlīnijas projekta iesnieguma sagatavošanai ietvert atbildīgās ministrijas tīmekļvietnē.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pamatprincipi projekta iesnieguma sagatavošanai būtu nosakāmi Ministru kabineta noteikumos, lai nodrošinātu, ka tie ir tiesiski saistoši visiem projektu iesniedzējiem, savukārt vadlīnijās projektu iesniedzējiem tiek ietverti skaidrojumi par tās aizpildīšanu un sniegti piemēri labākai situācijas izpratnei. Ņemot vērā, ka projektu konkursa ieviešanu nodrošina Vides investīciju fonds un EKII ieviešanai ir izveidota tīmekļa vietne (www.ekii.lv), tad no informācijas pieejamības viedokļa ir ērtāk, ka arī vadlīnijas projektu iesniedzējiem ir pieejamas vienuviet ar citiem dokumentiem, informatīviem materiāliem, statistiku un citu noderīgu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projekta iesnieguma veidlapu sagatavo DOC, DOCX vai PDF formātā;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48.12. citus nosacījumus, kas nepieciešami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vai tā anotācijā skaidrot, kādi vēl nosacījumi varētu būt nepieciešami projekta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līgumā ietver minētā punkta apakšpunktos norādīto informāciju, kā arī informāciju par terminiem un to interpretāciju, maksājumu veikšanas kārtību, atbalsta summa samazināšanu un atmaksu, pārbaužu veikšanas kārtību, projekta līguma grozījumu kārtību, nepārvaramas varas apstākļus.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50.12. citus nosacījumus, kas nepieciešami projekta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Ja nav izpildītas šo noteikumu </w:t>
            </w:r>
            <w:r w:rsidR="00000000" w:rsidRPr="00000000" w:rsidDel="00000000">
              <w:rPr>
                <w:rtl w:val="0"/>
              </w:rPr>
              <w:t xml:space="preserve">25.6. </w:t>
            </w:r>
            <w:r w:rsidR="00000000" w:rsidRPr="00000000" w:rsidDel="00000000">
              <w:rPr>
                <w:rtl w:val="0"/>
              </w:rPr>
              <w:t xml:space="preserve">apakšpunktā</w:t>
            </w:r>
            <w:r w:rsidR="00000000" w:rsidRPr="00000000" w:rsidDel="00000000">
              <w:rPr>
                <w:rtl w:val="0"/>
              </w:rPr>
              <w:t xml:space="preserve"> minētās prasības, atgūstamo neattiecināmo līdzekļu apjomu nosaka,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EKII</w:t>
            </w:r>
            <w:r w:rsidR="00000000" w:rsidRPr="00000000" w:rsidDel="00000000">
              <w:rPr>
                <w:i w:val="1"/>
                <w:vertAlign w:val="subscript"/>
                <w:rtl w:val="0"/>
              </w:rPr>
              <w:t xml:space="preserve">n.l.</w:t>
            </w:r>
            <w:r w:rsidR="00000000" w:rsidRPr="00000000" w:rsidDel="00000000">
              <w:rPr>
                <w:i w:val="1"/>
                <w:rtl w:val="0"/>
              </w:rPr>
              <w:t xml:space="preserve"> =        (1 ‒   N</w:t>
            </w:r>
            <w:r w:rsidR="00000000" w:rsidRPr="00000000" w:rsidDel="00000000">
              <w:rPr>
                <w:i w:val="1"/>
                <w:vertAlign w:val="subscript"/>
                <w:rtl w:val="0"/>
              </w:rPr>
              <w:t xml:space="preserve">ekspl</w:t>
            </w:r>
            <w:r w:rsidR="00000000" w:rsidRPr="00000000" w:rsidDel="00000000">
              <w:rPr>
                <w:i w:val="1"/>
                <w:vertAlign w:val="subscript"/>
                <w:rtl w:val="0"/>
              </w:rPr>
              <w:t xml:space="preserve">.</w:t>
            </w:r>
            <w:r w:rsidR="00000000" w:rsidRPr="00000000" w:rsidDel="00000000">
              <w:rPr>
                <w:i w:val="1"/>
                <w:rtl w:val="0"/>
              </w:rPr>
              <w:t xml:space="preserve">/N</w:t>
            </w:r>
            <w:r w:rsidR="00000000" w:rsidRPr="00000000" w:rsidDel="00000000">
              <w:rPr>
                <w:i w:val="1"/>
                <w:vertAlign w:val="subscript"/>
                <w:rtl w:val="0"/>
              </w:rPr>
              <w:t xml:space="preserve">Līgums</w:t>
            </w:r>
            <w:r w:rsidR="00000000" w:rsidRPr="00000000" w:rsidDel="00000000">
              <w:rPr>
                <w:i w:val="1"/>
                <w:vertAlign w:val="subscript"/>
                <w:rtl w:val="0"/>
              </w:rPr>
              <w:t xml:space="preserve"> </w:t>
            </w:r>
            <w:r w:rsidR="00000000" w:rsidRPr="00000000" w:rsidDel="00000000">
              <w:rPr>
                <w:i w:val="1"/>
                <w:rtl w:val="0"/>
              </w:rPr>
              <w:t xml:space="preserve">) × EKII ×</w:t>
            </w:r>
            <w:r w:rsidR="00000000" w:rsidRPr="00000000" w:rsidDel="00000000">
              <w:rPr>
                <w:rtl w:val="0"/>
              </w:rPr>
              <w:t xml:space="preserve"> (1 + ECB</w:t>
            </w:r>
            <w:r w:rsidR="00000000" w:rsidRPr="00000000" w:rsidDel="00000000">
              <w:rPr>
                <w:vertAlign w:val="subscript"/>
                <w:rtl w:val="0"/>
              </w:rPr>
              <w:t xml:space="preserve">likme</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EKII</w:t>
            </w:r>
            <w:r w:rsidR="00000000" w:rsidRPr="00000000" w:rsidDel="00000000">
              <w:rPr>
                <w:i w:val="1"/>
                <w:vertAlign w:val="subscript"/>
                <w:rtl w:val="0"/>
              </w:rPr>
              <w:t xml:space="preserve">n.l</w:t>
            </w:r>
            <w:r w:rsidR="00000000" w:rsidRPr="00000000" w:rsidDel="00000000">
              <w:rPr>
                <w:vertAlign w:val="subscript"/>
                <w:rtl w:val="0"/>
              </w:rPr>
              <w:t xml:space="preserve">. </w:t>
            </w:r>
            <w:r w:rsidR="00000000" w:rsidRPr="00000000" w:rsidDel="00000000">
              <w:rPr>
                <w:rtl w:val="0"/>
              </w:rPr>
              <w:t xml:space="preserve">– atgūstamais neattiecināmo līdzekļu apjoms,</w:t>
            </w:r>
            <w:r w:rsidR="00000000" w:rsidRPr="00000000" w:rsidDel="00000000">
              <w:rPr>
                <w:i w:val="1"/>
                <w:rtl w:val="0"/>
              </w:rPr>
              <w:t xml:space="preserve"> euro</w:t>
            </w:r>
            <w:r w:rsidR="00000000" w:rsidRPr="00000000" w:rsidDel="00000000">
              <w:rPr>
                <w:rtl w:val="0"/>
              </w:rPr>
              <w:t xml:space="preserve"> (noapaļots uz augšu līdz divām zīmēm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w:t>
            </w:r>
            <w:r w:rsidR="00000000" w:rsidRPr="00000000" w:rsidDel="00000000">
              <w:rPr>
                <w:i w:val="1"/>
                <w:vertAlign w:val="subscript"/>
                <w:rtl w:val="0"/>
              </w:rPr>
              <w:t xml:space="preserve">ekspl</w:t>
            </w:r>
            <w:r w:rsidR="00000000" w:rsidRPr="00000000" w:rsidDel="00000000">
              <w:rPr>
                <w:i w:val="1"/>
                <w:vertAlign w:val="subscript"/>
                <w:rtl w:val="0"/>
              </w:rPr>
              <w:t xml:space="preserve">.</w:t>
            </w:r>
            <w:r w:rsidR="00000000" w:rsidRPr="00000000" w:rsidDel="00000000">
              <w:rPr>
                <w:rtl w:val="0"/>
              </w:rPr>
              <w:t xml:space="preserve"> – transportlīdzekļa nobraukums monitoringa periodā,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w:t>
            </w:r>
            <w:r w:rsidR="00000000" w:rsidRPr="00000000" w:rsidDel="00000000">
              <w:rPr>
                <w:i w:val="1"/>
                <w:vertAlign w:val="subscript"/>
                <w:rtl w:val="0"/>
              </w:rPr>
              <w:t xml:space="preserve">Līgums</w:t>
            </w:r>
            <w:r w:rsidR="00000000" w:rsidRPr="00000000" w:rsidDel="00000000">
              <w:rPr>
                <w:vertAlign w:val="subscript"/>
                <w:rtl w:val="0"/>
              </w:rPr>
              <w:t xml:space="preserve"> </w:t>
            </w:r>
            <w:r w:rsidR="00000000" w:rsidRPr="00000000" w:rsidDel="00000000">
              <w:rPr>
                <w:rtl w:val="0"/>
              </w:rPr>
              <w:t xml:space="preserve">– šo noteikumu </w:t>
            </w:r>
            <w:r w:rsidR="00000000" w:rsidRPr="00000000" w:rsidDel="00000000">
              <w:rPr>
                <w:rtl w:val="0"/>
              </w:rPr>
              <w:t xml:space="preserve">67. </w:t>
            </w:r>
            <w:r w:rsidR="00000000" w:rsidRPr="00000000" w:rsidDel="00000000">
              <w:rPr>
                <w:rtl w:val="0"/>
              </w:rPr>
              <w:t xml:space="preserve">punktā</w:t>
            </w:r>
            <w:r w:rsidR="00000000" w:rsidRPr="00000000" w:rsidDel="00000000">
              <w:rPr>
                <w:rtl w:val="0"/>
              </w:rPr>
              <w:t xml:space="preserve"> minētais transportlīdzekļa nobraukums,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EKII </w:t>
            </w:r>
            <w:r w:rsidR="00000000" w:rsidRPr="00000000" w:rsidDel="00000000">
              <w:rPr>
                <w:rtl w:val="0"/>
              </w:rPr>
              <w:t xml:space="preserve">– atbalsta saņēmējam piešķirtais finansējums par šo noteikumu </w:t>
            </w:r>
            <w:r w:rsidR="00000000" w:rsidRPr="00000000" w:rsidDel="00000000">
              <w:rPr>
                <w:rtl w:val="0"/>
              </w:rPr>
              <w:t xml:space="preserve">8.1.</w:t>
            </w:r>
            <w:r w:rsidR="00000000" w:rsidRPr="00000000" w:rsidDel="00000000">
              <w:rPr>
                <w:shd w:fill="#ffffff" w:val="clea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vai </w:t>
            </w:r>
            <w:r w:rsidR="00000000" w:rsidRPr="00000000" w:rsidDel="00000000">
              <w:rPr>
                <w:rtl w:val="0"/>
              </w:rPr>
              <w:t xml:space="preserve">8.6. </w:t>
            </w:r>
            <w:r w:rsidR="00000000" w:rsidRPr="00000000" w:rsidDel="00000000">
              <w:rPr>
                <w:rtl w:val="0"/>
              </w:rPr>
              <w:t xml:space="preserve">apakšpunktā</w:t>
            </w:r>
            <w:r w:rsidR="00000000" w:rsidRPr="00000000" w:rsidDel="00000000">
              <w:rPr>
                <w:rtl w:val="0"/>
              </w:rPr>
              <w:t xml:space="preserve"> minētā transportlīdzekļa iegādi,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ECB</w:t>
            </w:r>
            <w:r w:rsidR="00000000" w:rsidRPr="00000000" w:rsidDel="00000000">
              <w:rPr>
                <w:vertAlign w:val="subscript"/>
                <w:rtl w:val="0"/>
              </w:rPr>
              <w:t xml:space="preserve">likme</w:t>
            </w:r>
            <w:r w:rsidR="00000000" w:rsidRPr="00000000" w:rsidDel="00000000">
              <w:rPr>
                <w:rtl w:val="0"/>
              </w:rPr>
              <w:t xml:space="preserve"> – Eiropas Centrālās bankas refinansēšanas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70. punktā izmantotajā formulā precizēt atrunu, kāda “Eiropas Centrālās bankas refinansēšanas likme” tiek izmantota aprēķinā (periods/datums).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minētais MK noteikumu projekta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nav izpildītas šo noteikumu </w:t>
            </w:r>
            <w:r w:rsidR="00000000" w:rsidRPr="00000000" w:rsidDel="00000000">
              <w:rPr>
                <w:rtl w:val="0"/>
              </w:rPr>
              <w:t xml:space="preserve">26.5. </w:t>
            </w:r>
            <w:r w:rsidR="00000000" w:rsidRPr="00000000" w:rsidDel="00000000">
              <w:rPr>
                <w:rtl w:val="0"/>
              </w:rPr>
              <w:t xml:space="preserve">apakšpunktā</w:t>
            </w:r>
            <w:r w:rsidR="00000000" w:rsidRPr="00000000" w:rsidDel="00000000">
              <w:rPr>
                <w:rtl w:val="0"/>
              </w:rPr>
              <w:t xml:space="preserve"> minētās prasības, atgūstamo neattiecināmo līdzekļu apjomu nosaka,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EKII</w:t>
            </w:r>
            <w:r w:rsidR="00000000" w:rsidRPr="00000000" w:rsidDel="00000000">
              <w:rPr>
                <w:i w:val="1"/>
                <w:vertAlign w:val="subscript"/>
                <w:rtl w:val="0"/>
              </w:rPr>
              <w:t xml:space="preserve">n.l.</w:t>
            </w:r>
            <w:r w:rsidR="00000000" w:rsidRPr="00000000" w:rsidDel="00000000">
              <w:rPr>
                <w:i w:val="1"/>
                <w:rtl w:val="0"/>
              </w:rPr>
              <w:t xml:space="preserve"> =        (1 ‒   N</w:t>
            </w:r>
            <w:r w:rsidR="00000000" w:rsidRPr="00000000" w:rsidDel="00000000">
              <w:rPr>
                <w:i w:val="1"/>
                <w:vertAlign w:val="subscript"/>
                <w:rtl w:val="0"/>
              </w:rPr>
              <w:t xml:space="preserve">ekspl</w:t>
            </w:r>
            <w:r w:rsidR="00000000" w:rsidRPr="00000000" w:rsidDel="00000000">
              <w:rPr>
                <w:i w:val="1"/>
                <w:vertAlign w:val="subscript"/>
                <w:rtl w:val="0"/>
              </w:rPr>
              <w:t xml:space="preserve">.</w:t>
            </w:r>
            <w:r w:rsidR="00000000" w:rsidRPr="00000000" w:rsidDel="00000000">
              <w:rPr>
                <w:i w:val="1"/>
                <w:rtl w:val="0"/>
              </w:rPr>
              <w:t xml:space="preserve">/N</w:t>
            </w:r>
            <w:r w:rsidR="00000000" w:rsidRPr="00000000" w:rsidDel="00000000">
              <w:rPr>
                <w:i w:val="1"/>
                <w:vertAlign w:val="subscript"/>
                <w:rtl w:val="0"/>
              </w:rPr>
              <w:t xml:space="preserve">Līgums</w:t>
            </w:r>
            <w:r w:rsidR="00000000" w:rsidRPr="00000000" w:rsidDel="00000000">
              <w:rPr>
                <w:i w:val="1"/>
                <w:vertAlign w:val="subscript"/>
                <w:rtl w:val="0"/>
              </w:rPr>
              <w:t xml:space="preserve"> </w:t>
            </w:r>
            <w:r w:rsidR="00000000" w:rsidRPr="00000000" w:rsidDel="00000000">
              <w:rPr>
                <w:i w:val="1"/>
                <w:rtl w:val="0"/>
              </w:rPr>
              <w:t xml:space="preserve">) × EKII ×</w:t>
            </w:r>
            <w:r w:rsidR="00000000" w:rsidRPr="00000000" w:rsidDel="00000000">
              <w:rPr>
                <w:rtl w:val="0"/>
              </w:rPr>
              <w:t xml:space="preserve"> (1 + ECB</w:t>
            </w:r>
            <w:r w:rsidR="00000000" w:rsidRPr="00000000" w:rsidDel="00000000">
              <w:rPr>
                <w:vertAlign w:val="subscript"/>
                <w:rtl w:val="0"/>
              </w:rPr>
              <w:t xml:space="preserve">likme</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EKII</w:t>
            </w:r>
            <w:r w:rsidR="00000000" w:rsidRPr="00000000" w:rsidDel="00000000">
              <w:rPr>
                <w:i w:val="1"/>
                <w:vertAlign w:val="subscript"/>
                <w:rtl w:val="0"/>
              </w:rPr>
              <w:t xml:space="preserve">n.l</w:t>
            </w:r>
            <w:r w:rsidR="00000000" w:rsidRPr="00000000" w:rsidDel="00000000">
              <w:rPr>
                <w:vertAlign w:val="subscript"/>
                <w:rtl w:val="0"/>
              </w:rPr>
              <w:t xml:space="preserve">. </w:t>
            </w:r>
            <w:r w:rsidR="00000000" w:rsidRPr="00000000" w:rsidDel="00000000">
              <w:rPr>
                <w:rtl w:val="0"/>
              </w:rPr>
              <w:t xml:space="preserve">– atgūstamais neattiecināmo līdzekļu apjoms,</w:t>
            </w:r>
            <w:r w:rsidR="00000000" w:rsidRPr="00000000" w:rsidDel="00000000">
              <w:rPr>
                <w:i w:val="1"/>
                <w:rtl w:val="0"/>
              </w:rPr>
              <w:t xml:space="preserve"> euro</w:t>
            </w:r>
            <w:r w:rsidR="00000000" w:rsidRPr="00000000" w:rsidDel="00000000">
              <w:rPr>
                <w:rtl w:val="0"/>
              </w:rPr>
              <w:t xml:space="preserve"> (noapaļots uz augšu līdz divām zīmēm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w:t>
            </w:r>
            <w:r w:rsidR="00000000" w:rsidRPr="00000000" w:rsidDel="00000000">
              <w:rPr>
                <w:i w:val="1"/>
                <w:vertAlign w:val="subscript"/>
                <w:rtl w:val="0"/>
              </w:rPr>
              <w:t xml:space="preserve">ekspl</w:t>
            </w:r>
            <w:r w:rsidR="00000000" w:rsidRPr="00000000" w:rsidDel="00000000">
              <w:rPr>
                <w:i w:val="1"/>
                <w:vertAlign w:val="subscript"/>
                <w:rtl w:val="0"/>
              </w:rPr>
              <w:t xml:space="preserve">.</w:t>
            </w:r>
            <w:r w:rsidR="00000000" w:rsidRPr="00000000" w:rsidDel="00000000">
              <w:rPr>
                <w:rtl w:val="0"/>
              </w:rPr>
              <w:t xml:space="preserve"> – transportlīdzekļa nobraukums monitoringa periodā,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w:t>
            </w:r>
            <w:r w:rsidR="00000000" w:rsidRPr="00000000" w:rsidDel="00000000">
              <w:rPr>
                <w:i w:val="1"/>
                <w:vertAlign w:val="subscript"/>
                <w:rtl w:val="0"/>
              </w:rPr>
              <w:t xml:space="preserve">Līgums</w:t>
            </w:r>
            <w:r w:rsidR="00000000" w:rsidRPr="00000000" w:rsidDel="00000000">
              <w:rPr>
                <w:vertAlign w:val="subscript"/>
                <w:rtl w:val="0"/>
              </w:rPr>
              <w:t xml:space="preserve"> </w:t>
            </w:r>
            <w:r w:rsidR="00000000" w:rsidRPr="00000000" w:rsidDel="00000000">
              <w:rPr>
                <w:rtl w:val="0"/>
              </w:rPr>
              <w:t xml:space="preserve">– šo noteikumu </w:t>
            </w:r>
            <w:r w:rsidR="00000000" w:rsidRPr="00000000" w:rsidDel="00000000">
              <w:rPr>
                <w:rtl w:val="0"/>
              </w:rPr>
              <w:t xml:space="preserve">69. </w:t>
            </w:r>
            <w:r w:rsidR="00000000" w:rsidRPr="00000000" w:rsidDel="00000000">
              <w:rPr>
                <w:rtl w:val="0"/>
              </w:rPr>
              <w:t xml:space="preserve">punktā</w:t>
            </w:r>
            <w:r w:rsidR="00000000" w:rsidRPr="00000000" w:rsidDel="00000000">
              <w:rPr>
                <w:rtl w:val="0"/>
              </w:rPr>
              <w:t xml:space="preserve"> minētais transportlīdzekļa nobraukums,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EKII </w:t>
            </w:r>
            <w:r w:rsidR="00000000" w:rsidRPr="00000000" w:rsidDel="00000000">
              <w:rPr>
                <w:rtl w:val="0"/>
              </w:rPr>
              <w:t xml:space="preserve">– atbalsta saņēmējam piešķirtais finansējums par šo noteikumu </w:t>
            </w:r>
            <w:r w:rsidR="00000000" w:rsidRPr="00000000" w:rsidDel="00000000">
              <w:rPr>
                <w:rtl w:val="0"/>
              </w:rPr>
              <w:t xml:space="preserve">8.1.</w:t>
            </w:r>
            <w:r w:rsidR="00000000" w:rsidRPr="00000000" w:rsidDel="00000000">
              <w:rPr>
                <w:shd w:fill="#ffffff" w:val="clea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vai </w:t>
            </w:r>
            <w:r w:rsidR="00000000" w:rsidRPr="00000000" w:rsidDel="00000000">
              <w:rPr>
                <w:rtl w:val="0"/>
              </w:rPr>
              <w:t xml:space="preserve">8.5. </w:t>
            </w:r>
            <w:r w:rsidR="00000000" w:rsidRPr="00000000" w:rsidDel="00000000">
              <w:rPr>
                <w:rtl w:val="0"/>
              </w:rPr>
              <w:t xml:space="preserve">apakšpunktā</w:t>
            </w:r>
            <w:r w:rsidR="00000000" w:rsidRPr="00000000" w:rsidDel="00000000">
              <w:rPr>
                <w:rtl w:val="0"/>
              </w:rPr>
              <w:t xml:space="preserve"> minētā transportlīdzekļa iegādi,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ECB</w:t>
            </w:r>
            <w:r w:rsidR="00000000" w:rsidRPr="00000000" w:rsidDel="00000000">
              <w:rPr>
                <w:vertAlign w:val="subscript"/>
                <w:rtl w:val="0"/>
              </w:rPr>
              <w:t xml:space="preserve">likme</w:t>
            </w:r>
            <w:r w:rsidR="00000000" w:rsidRPr="00000000" w:rsidDel="00000000">
              <w:rPr>
                <w:rtl w:val="0"/>
              </w:rPr>
              <w:t xml:space="preserve"> – Eiropas Centrālās bankas refinansēšanas likme,  kas ir spēkā dienā, kad pieņemts lēmums par līdzekļu atgūšanu.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Grants/dotācija – šo noteikumu kontekstā terminam "grants" nozīme ir identiska Komisijas 2023. gada 13. decembra regulā (ES) Nr. 2023/2831  par Līguma par Eiropas Savienības darbību 107. un 108. panta piemērošanu de minimis atbalstam (turpmāk – Regula Nr. 2023/2831). Ja komersantam nav pieejams de minimis limits vismaz dotācijas ekvivalenta apmērā, atbalstu sniedz saskaņā ar Komisijas 2014. gada 17. jūnija regulas (ES) Nr. 651/2014 , ar ko noteiktas atbalsta kategorijas atzīst par saderīgām ar iekšējo tirgu, piemērojot Līguma 107. un 108. pantu lietotajam terminam "dotācija"".</w:t>
            </w:r>
            <w:r w:rsidR="00000000" w:rsidRPr="00000000" w:rsidDel="00000000">
              <w:rPr>
                <w:rtl w:val="0"/>
              </w:rPr>
              <w:t xml:space="preserve"> Ņemot vērā, ka ar Nolikuma projektu plānotais publiskais finansējums nekvalificējas kā komercdarbības atbalsts (</w:t>
            </w:r>
            <w:r w:rsidR="00000000" w:rsidRPr="00000000" w:rsidDel="00000000">
              <w:rPr>
                <w:i w:val="1"/>
                <w:rtl w:val="0"/>
              </w:rPr>
              <w:t xml:space="preserve">Atbalsta saņēmēja (fiziskas personas) līmenī nav saskatāms komercdarbības atbalsts, ņemot vērā to, ka atbalstu darbībām, kas nav saimnieciska rakstura, t.i., nav saistītas ar preču vai pakalpojumu piedāvāšanu tirgū, neuzskata par komercdarbības atbalstu, t.i., ja bezemisiju vai mazemisiju transportlīdzekļi tiek izmantoti privātām (personiskām vai ģimenes) vajadzībām, ko veic personas, kas ir to īpašnieki un kas nav iesaistītas saimnieciskajā darbībā, atbalsta pasākums nebūtu uzskatāms par komercdarbības atbalstu elektromobiļa pircējam</w:t>
            </w:r>
            <w:r w:rsidR="00000000" w:rsidRPr="00000000" w:rsidDel="00000000">
              <w:rPr>
                <w:rtl w:val="0"/>
              </w:rPr>
              <w:t xml:space="preserve">), lūdzam no anotācijas svītrot minēto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svītrojot attiecīgo rindkopu.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skaidrojumu, kādā veidā tiks izgūti dati no Uzturlīdzekļu garantiju fonda iesniedzēju un parādnieku reģistra 16.8. apakšpunktā minētā nosacījuma pārbaudei. Piemēram, vai dati tiks izgūti tāpat kā Ministru kabineta 2021. gada 21. decembra noteikumu Nr. 896 "Emisijas kvotu izsolīšanas instrumenta finansēto projektu atklāta konkursa "Siltumnīcefekta gāzu emisijas samazināšana transporta sektorā – atbalsts bezemisiju un mazemisiju transportlīdzekļu iegādei" nolikums" 14.8. apakšpunkta pārbaudei, izmantojot www.latvija.gov.lv pieejamo informāciju, kas tiek sniegta par Uzturlīdzekļu garantiju fonda parādniekiem saskaņā ar Uzturlīdzekļu garantiju fonda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ar skaidrojumu.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apgalvojumu “EKII pieredzi par viena atbalstītā transportlīdzekļa vidējo cenu - 4845 euro”. Vai šeit ir domāta ” vidēja "cena", vai vidēja “atbalsta summa"? Lūdzam paskaidrot, kā tiek iegūta vidēja atbalsta summa, jo pēc datiem no tabulas “Ar EKII līdzfinansējumu īstenoto aktivitāšu rādītāji uz 2025.gada decembri” vidēja atbalsta summa ir 4 334 euro. Tomēr, ņemot vērā anotācijā minēto informāciju, ka “EKII atbalstu no 2022. gada sākuma līdz 2025. gada 31.decembrim, kur tika iegādāti 4785 elektromobiļi un 1720 ārēji lādējami hibrīdauto ar kopējo EKII finansējumu ~30 miljoni euro” vidējais atbalsta apjoms ir ~4 612 euro par vienu transportlīdzekli. Attiecīgi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līdzīgs atbalsts jau pastāvēja, lūdzam izvērtēt iespēju papildināt anotāciju ar iepriekš piešķirtā atbalsta ex-post novērtējumu un ietekmi uz atbilstošu transportlīdzekļu tirgu (vai atbalsts veicina inflāciju un veido citus blakusefektus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MK noteikumu projektu Ministrija ir ņēmusi vērā pieredzi no EKII atbalsta programmas "Siltumnīcefekta gāzu emisijas samazināšana transporta sektorā – atbalsts bezemisiju un mazemisiju transportlīdzekļu iegādei" ieviešanas. Vienlaikus, ņemot vērā ģeopolitiskos apstākļus un sabiedrības augsto interesi par atbalsta iespējām videi draudzīgu transportlīdzekļu iegādei pēc iespējas ātrākā periodā, ministrija nav veikusi ex-post novērtējumu un transportlīdzekļu tirgus analīzi kontekstā ar valsts makroekonomiskajiem rādītājiem.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1.lpp. pieminētie politikas plānošanas dokumenti uzsver nepieciešamību īstenot sociāli taisnīgu pārkārtošanos. Savukārt, EK ir norādījusi uz risku, ka ES klimata un enerģētikas politikas paketei “Fit for 55” būs mēreni regresīva sadales ietekme (mazāk turīgie iedzīvotāji tiek relatīvi negatīvāk ietekmēti par turīgākiem) un svarīgi instrumenti šī ietekmes mazināšanai ir arī EKII principam atbilstoši finanšu instrumenti. Taču Peter H. et. al. 2024. gada publikācijā norāda, ka šāda veida atbalsts ir paredzēts tikai iedzīvotājiem, kuri vēlas un spēj iegādāties automašīnu. Tādējādi subsīdiju programma var nesamērīgi dot labumu turīgākiem pircējiem (https://link.springer.com/article/10.1007/s10640-024-00929-z)  </w:t>
            </w:r>
            <w:r w:rsidR="00000000" w:rsidRPr="00000000" w:rsidDel="00000000">
              <w:rPr>
                <w:b w:val="1"/>
                <w:rtl w:val="0"/>
              </w:rPr>
              <w:t xml:space="preserve">Līdz ar to lūdzam analizēt iepriekš sniegto atbalstu atkarībā no mājsaimniecību ienākumu līmeņiem uz 1 mājsaimniecības locekli</w:t>
            </w:r>
            <w:r w:rsidR="00000000" w:rsidRPr="00000000" w:rsidDel="00000000">
              <w:rPr>
                <w:rtl w:val="0"/>
              </w:rPr>
              <w:t xml:space="preserve"> (vai ekvivalentu) . </w:t>
            </w:r>
            <w:r w:rsidR="00000000" w:rsidRPr="00000000" w:rsidDel="00000000">
              <w:rPr>
                <w:b w:val="1"/>
                <w:rtl w:val="0"/>
              </w:rPr>
              <w:t xml:space="preserve">Lūdzam atbalsta saņemšanu ierobežot, atkarībā no mājsaimniecības ienākumiem uz 1 iedzīvotāju </w:t>
            </w:r>
            <w:r w:rsidR="00000000" w:rsidRPr="00000000" w:rsidDel="00000000">
              <w:rPr>
                <w:rtl w:val="0"/>
              </w:rPr>
              <w:t xml:space="preserve">(līdzīga pieeja ir arī Francijā).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Latvijas Sociālā klimata fonda plāna 2026.-2032.gadam ietvaros plānots īstenot atbalsta programmu 70 milj. </w:t>
            </w:r>
            <w:r w:rsidR="00000000" w:rsidRPr="00000000" w:rsidDel="00000000">
              <w:rPr>
                <w:i w:val="1"/>
                <w:rtl w:val="0"/>
              </w:rPr>
              <w:t xml:space="preserve">euro</w:t>
            </w:r>
            <w:r w:rsidR="00000000" w:rsidRPr="00000000" w:rsidDel="00000000">
              <w:rPr>
                <w:rtl w:val="0"/>
              </w:rPr>
              <w:t xml:space="preserve"> apmērā, lai veicinātu elektromobiļu pieejamību mazākaizargātajiem transporta lietotājiem. Minētā atbalsta programma paredz specifiskus un uz konkrēto mērķgrupu orientētus kritērijus un nosacījumus. Vienlaikus, mazākaizsargātajiem transporta lietotājiem sniegtais atbalsts būs augstāks nekā MK noteikumu projektā paredzētais atbalsts, kurš ir pieejams faktiski ikvienam Latvijas iedzīvotājam.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7.lpp. sākumā un 8.lpp. beigās tiek analizēta Eiropas Auto ražotāju asociācijas 2025. gada 3. aprīļa ziņojums. Lūdzam norādīt aktuālākos datus (par 2025.g.) vai veikt pilnvērtīgāku analīzi. Piemēram, ir norādīts “2024. gadā aptuveni pusei no ES dalībvalstīm bija pieejams atbalsts ārēji lādējamu hibrīdauto iegādei ar ievērojami zemāku atbalsta apjomu – aptuveni 50 % no elektromobiļa atbalsta apjoma”, taču ir noklusēta informācija, ka 2025.g. šādu atbalstu sniedza vien 4 valstis. Līdzīgi nav norādīts, ka 2025.g. valstī ir palielinājies to valstu skaits, kuri nesubsidē privātpersonām elektromobiļu iegādi, taču ir norādīts, ka kaut kādā laika periodā 30 ES dalībvalstīs (kļūdaini) un Apvienotā Karalistē ir bijušas dažādas atbalsta sistēmas bezemisiju un mazemisiju transportlīdzekļu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izvairīties anotācijā no gadījumiem, kad par vienu un to pašu informācijas tipu tiek izmantoti dažādi dati/informācija. Piemēram, elektromobiļu skaits, kas saistīts ar EKII atbalstu, "no 2022. gada sākuma līdz 2025. gada 31.decembrim, kad EKII ietvaros [..] tika iegādāti 4785 elektromobiļi…." un "No 2024.gada 1.jūlija līdz 2025.gada 1.oktobrim ir iegādāti 5442 elektromobiļi, no tiem 4627 elektromobiļi (85%) EKII atbalsta programmas ietvaros". Šādos gadījumos lūgums izmanot pilnīgākos datus (līdz 2025.g. 31. decembrim) vai paskaidrot, kādēļ tiek izmantoti “vecāki”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kā paredzēts izpildīt Klimatnoturības un ekonomiskās ilgtspējas likuma 15. panta astotās daļas pilnvarojumu, kas paredz Ministru kabinetam noteikt kārtību, kādā izsola Latvijai piešķirtās emisijas kvotas un neattiecināmo Emisijas kvotu izsolīšanas instrumenta līdzekļu atgūšanas nosacījumus un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kārtību, kādā izsola Latvijai piešķirtās emisijas kvotas, šobrīd saskaņošanas procesā ir MK noteikumu projekts "Latvijai piešķirto emisijas kvotu izsolīšanas kārtība" (26-TA-446), un līdzīgi kā līdz šim (MK 2012. gada 25. septembra noteikumi Nr. 657 "Latvijai piešķirto emisijas kvotu izsolīšanas kārtība") arī turpmāk šo kārtību plānots noteikt atsevišķos Ministru kabineta noteikumos. Neattiecināmo Emisijas kvotu izsolīšanas instrumenta līdzekļu atgūšanas nosacījumi un kārtība tiek noteikta projektu konkursu nolikumos, tostarp arī šajā noteikumu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10. lpp. ir norādīts, ka Latvijai ir noteikts mērķis samazināt SEG emisijas emisijas ne -ETS sektorā, ieskaitot transporta sektoru, par 6% līdz 2030. gadam salīdzinājumā ar 2005. gadu. Aktualizētajā NEKP ir norādīts, ka kopējais ne-ETS darbību SEG emisiju mērķis ir -17%. Lūdzam izvērtēt, vai tekstā nav kļūda.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7.lpp. beigās un 8.lpp. sākumā ir teksts “</w:t>
            </w:r>
            <w:r w:rsidR="00000000" w:rsidRPr="00000000" w:rsidDel="00000000">
              <w:rPr>
                <w:i w:val="1"/>
                <w:rtl w:val="0"/>
              </w:rPr>
              <w:t xml:space="preserve">ir jāsecina, ka 30 ES dalībvalstīs un Apvienotajā Karalistē pastāv (vai pēdējos gados pastāvēja) dažādas atbalsta sistēmas bezemisiju un mazemisiju transportlīdzekļu iegādei</w:t>
            </w:r>
            <w:r w:rsidR="00000000" w:rsidRPr="00000000" w:rsidDel="00000000">
              <w:rPr>
                <w:rtl w:val="0"/>
              </w:rPr>
              <w:t xml:space="preserve">”. Lūgums pārbaudīt informācijas patiesumu. ES ir 27 dalībvalstis. Izvērtējot avotu secinām, ka varētu būt domātas EFTA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anotāciju papildināt ar paskaidrojumu, ko nozīmē noteikuma projektā 25.6. punktā minētais teksts “….noslēdzoties monitoringa periodam, ir pieļaujama transprtlīdzekļa faktiskā nobraukuma nobīde uz leju 20 %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Papildināta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papildus skaidrot, kā projekta apstiprināšanas gadījumā projekti veicinās konkurenci komersantu starpā, kas nodarbojas ar elektromobiļu un ārēji lādējamu hibrīdauto tirdzniecību. Norādām, ka tajā pašā laikā 2.2.5.sadaļa ir tukša.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Apakšpunktā norādīts, ka tiesiskā regulējuma ietekme uz konkurētspēju nav.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papildus skaidrot, kā projekta apstiprināšanas gadījumā projekti veicinās konkurenci komersantu starpā, kas nodarbojas ar elektromobiļu un ārēji lādējamu hibrīdauto tirdzniecību. Norādām, ka tajā pašā laikā 2.2.5.sadaļa ir tukša.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Apakšpunktā norādīts, ka tiesiskā regulējuma ietekme uz konkurētspēju nav.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šādus precizējumus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aizpildīt 2.1. apakšpunktu atbilstoši 1.1. apakšpunktos norādītajām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punkta “Cita informācija” pirmās rindkopas pirmo teikumu pārcelt uz 6.punktu, savukārt otrajā teikumā sniegto informāciju precizēt, norādot, ka EKII finansējumu konkursa ietvaros apstiprināto projektu īstenošanai KEM pieprasīs no valsts budžeta programmas 80.00.00 "Nesadalītais finansējums Eiropas Savienības politiku instrumentu un pārējās ārvalstu finanšu palīdzības līdzfinansēto projektu un pasākumu īstenošanai", lai to ieplānotu KEM budžeta programmas 33.00.00 "Emisijas kvotu izsoļu ieņēmumu instrumenti" apakšprogrammā 33.02.00 "Emisijas kvotu izsolīšanas instrumenta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fizisko personu datu apstrādi, lūdzam atbilstoši Valsts kancelejas 2021.gada vadlīnijās sākotnējās ietekmes novērtēšanai un novērtējuma ziņojuma sagatavošanai vienotajā tiesību aktu izstrādes un saskaņošanas portālā noteiktajam aizpildīt anotācijas 8.1.13. apakšsadaļu, ietverot skaidru un saprotamu informāciju par projektā paredzēto personu datu apstrādi, norādot tiesisko pamatojumu personu datu apstrādei, kā arī sniedzot īsu un kodolīgu skaidrojumu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noteikumu projekta anotācijas 8.1.13.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25-TA-2646</w:t>
    </w:r>
    <w:r>
      <w:br/>
    </w:r>
    <w:r w:rsidR="00000000" w:rsidRPr="00000000" w:rsidDel="00000000">
      <w:rPr>
        <w:rtl w:val="0"/>
      </w:rPr>
      <w:t xml:space="preserve">24.04.2026. 08.52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25-TA-2646</w:t>
    </w:r>
    <w:r>
      <w:br/>
    </w:r>
    <w:r w:rsidR="00000000" w:rsidRPr="00000000" w:rsidDel="00000000">
      <w:rPr>
        <w:rtl w:val="0"/>
      </w:rPr>
      <w:t xml:space="preserve">24.04.2026. 08.52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Izziņa_25-TA-2646.docx</dc:title>
</cp:coreProperties>
</file>

<file path=docProps/custom.xml><?xml version="1.0" encoding="utf-8"?>
<Properties xmlns="http://schemas.openxmlformats.org/officeDocument/2006/custom-properties" xmlns:vt="http://schemas.openxmlformats.org/officeDocument/2006/docPropsVTypes"/>
</file>