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21-TA-463: Informatīvais ziņojums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Informatīvais ziņojums par Eiropas Savienības Atveseļošanas un noturības mehānisma plāna 3. komponentes “Nevienlīdzības mazināšana” 3.1. reformu un investīciju virziena “Reģionālā politika” 3.1.2.4.i. investīcijas “Sociālās un profesionālās rehabilitācijas pakalpojumu sinerģiska attīstība cilvēku ar funkcionāliem traucējumiem drošumspējas veicināšanai” īstenošanu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sniegta informācija, ka investīcijas projekta ietvaros komercdarbības atbalsts nav plānots, un sniegts atbilstošs skaidrojums. Vienlaikus no ziņojumā minētā secināms, ka atbalsts tiks piešķirts t.sk. atbilstošas elektroautomašīnas iegādei un infrastruktūras atjaunošanai, t.sk. nolūkā palielināt ēku energoefektivitāti, veicot fasādes, sienu, jumta, stāvu siltināšanas darbus.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Sociālās integrācijas valsts aģentūra sniedz arī maksas pakalpojumus, un atbalsts šādām aktivitātēm būtu jāvērtē komercdarbības atbalsta kontekstā, nepieciešamības, gadījumā piemērojot komercdarbības atbalsta regulējumu, lūdzam iekļaut ziņojumā skaidrojumu. Proti, vai Aģentūra izveidoto infrastruktūru un aprīkojumu neizmatos savas saimnieciskās darbības veikšanai, kā arī vai tiks skaidri nodalītas darbības un ar tām saistītām naudas plūsmas no savām saimnieciskajām darbībām, lai varētu pārliecināties, ka komercdarbības atbalsta regulējuma nosacījumi tiek ievēroti.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40. punkts (iepriekš 41.punkts) ir precizēts.  Investīcijas projektā izveidotā infrastruktūra un iegādātais materiāltehniskais aprīkojums tiks izmantots tikai kompetenču attīstības centra darbības nodrošināšanai, sniedzot valsts finansētus pakalpojumus.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22.2.1. un 22.2.2. apakšpunktos, pēc publiski pieejamās informācijas https://www.siva.gov.lv/lv/maksas-rehabilitacija, tiek sniegti maksas pakalpojumi, t.sk. SIVA ir reģistrēta kā arstniecības iestāde (Ārstniecības iestāžu reģistrs Nr.130014001), Ziņojumā nav atrunāts kā šie fakti ietekmē valsts atbalsta jautājumus. Lūdzu izvērtēt nepieciešamību papildināt ziņojumu.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tiek veikti grozījumi Ministru kabineta 2013. gada 24. septembra noteikumos Nr. 1002 “Sociālās integrācijas valsts aģentūras maksas pakalpojumu cenrādis”, tai skaitā, ar mērķi pārtraukt profesionālās rehabilitācijas pakalpojumu sniegšanu par maksu (Vienotā tiesību aktu izstrādes un saskaņošanas portāla tiesību akta lieta projekts Nr.21-TA-1628). Līdz ar to investīciju projekta īstenošanas laikā veiktie ieguldījumi netiks izmantoti SIVA saimnieciskās darbības veikšanai un nav klasificējami kā komercdarbības atbalsts.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Likuma par budžetu un finanšu vadību 19.</w:t>
            </w:r>
            <w:r w:rsidR="00000000" w:rsidRPr="00000000" w:rsidDel="00000000">
              <w:rPr>
                <w:vertAlign w:val="superscript"/>
                <w:rtl w:val="0"/>
              </w:rPr>
              <w:t xml:space="preserve">3</w:t>
            </w:r>
            <w:r w:rsidR="00000000" w:rsidRPr="00000000" w:rsidDel="00000000">
              <w:rPr>
                <w:rtl w:val="0"/>
              </w:rPr>
              <w:t xml:space="preserve"> panta otrā daļa cita starpā paredz, ka Ministru kabinets nosaka Eiropas Atveseļošanas un noturības mehānisma ieviešanas un nacionālā ekonomikas atveseļošanas un noturības plāna īstenošanas un uzraudzības kārtību. Attiecīgā likuma anotācijā, raksturojot deleģējumu cita starpā norādīts, ka nepieciešams izveidot darboties spējīgu tiesisko regulējumu, lai noteiktu gan šī mehānisma ieviešanā iesaistīto institūciju tiesības un pienākumus, gan arī šo tiesību un pienākumu apmēru attiecīgajiem finansējuma saņēmējiem, jo īpaši, ja minētā mehānisma ieviešanā kā finansējuma saņēmēji būs iesaistīti privāto tiesību subjekti, kuru pienākumu un tiesību apjomam jābūt noteiktam ar ārēju normatīvo aktu. Tā kā Eiropas Komisijas (EK) izstrādātais regulējuma piedāvājums paredz 100% EK finansējumu, vienlaikus tā izmaksu vērtējot pret plāna ietvaros sasniegtajiem kritērijiem, tad nepieciešams Likumā par budžeta un finanšu vadībunoteikt kārtību, kādā Latvijā tiek uzraudzīts šo mērķu sasniegšanas mehānisms līdz EK noteikto izvērtējumu veikšanai un tādējādi saņemtu 100% EK atmaksu par sasniegtajiem rezultātiem. Ņemot vērā, ka arī EK šobrīd vēl turpina aktīvu darbu pie visu nepieciešamo dokumentu izstrādes, šobrīd par labāko un atbilstošāko risinājumu ir atzīts likumā ietverts visaptverošs deleģējums Ministru kabinetam, lai pēc visu nepieciešamo plānošanas dokumentu izstrādes un apstiprināšanas Ministru kabineta līmenī būtu iespējams arī apstiprināt attiecīgus Ministru kabineta noteikumus, kuros noteiktu attiecīgo institūciju un finansējuma saņēmēju tiesības un pienākumus plāna realizācijas ietvaros.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minēto lūdzam: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konkretizēt ziņojuma satura elementa - investīcijas (Atveseļošanas un noturības mehānisma plāna 3. komponentes “Nevienlīdzības mazināšana” 3.1. reformu un investīciju virziena “Reģionālā politika” 3.1.2.4.i. investīcija "Sociālās un profesionālās rehabilitācijas pakalpojumu sinerģiska attīstība cilvēku ar funkcionāliem traucējumiem drošumspējas veicināšanai") </w:t>
            </w:r>
            <w:r w:rsidR="00000000" w:rsidRPr="00000000" w:rsidDel="00000000">
              <w:rPr>
                <w:u w:val="single"/>
                <w:rtl w:val="0"/>
              </w:rPr>
              <w:t xml:space="preserve">iesaistīto institūciju tiesību un pienākumu noteikšana</w:t>
            </w:r>
            <w:r w:rsidR="00000000" w:rsidRPr="00000000" w:rsidDel="00000000">
              <w:rPr>
                <w:rtl w:val="0"/>
              </w:rPr>
              <w:t xml:space="preserve"> (ziņojuma 1.3. apakšpunkts) - vai skaidrot tā atbilstību Likuma par budžetu un finanšu vadību 19.</w:t>
            </w:r>
            <w:r w:rsidR="00000000" w:rsidRPr="00000000" w:rsidDel="00000000">
              <w:rPr>
                <w:vertAlign w:val="superscript"/>
                <w:rtl w:val="0"/>
              </w:rPr>
              <w:t xml:space="preserve">3</w:t>
            </w:r>
            <w:r w:rsidR="00000000" w:rsidRPr="00000000" w:rsidDel="00000000">
              <w:rPr>
                <w:rtl w:val="0"/>
              </w:rPr>
              <w:t xml:space="preserve"> panta otrajā daļā minētajam pilnvarojumam;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svītrot ziņojuma satura elementu - investīcijas īstenošanas un uzraudzības kārtība (ziņojuma 1.5. apakšpunkts) kā ziņojuma 1. punkta ievaddaļas dublējošu.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1.punkts, 1.3. un 1.5. 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11. punktā skaidrot, vai termini "pakalpojumu līgums" un "uzņēmuma līgums" ziņojumā tiek lietoti kā sinonīmi, vai tiem ir atšķirīgs tvērums. Atbilstoši juridiskās tehnikas prasībām, juridiskos dokumentos nelieto sinonīmus un vienu lietu konsekventi sauc vienā un tajā pašā vārdā. Nepieciešamības gadījumā lūdzam minētos terminus atdalīt ar saikli "vai", nelietojot pieturzīmi iekavas.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cituviet ziņojumā (jo īpaši sk., piemēram, 14.1.3. apakšpunktu u.c. līdzīgus gadījumus) izvērtēt nepieciešamību lietot sinonīmus un - ja attiecīga nepieciešamības nepastāv - atbilstoši precizēt ziņojumu, izvairoties no sinonīmu lietošanas tajā.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23.4. apakšpunktā un 34.4. apakšpunktā (iepriekš 35.4.apakšpunktā) termini “pakalpojumu līgums” un “uzņēmuma līgums” tiek lietoti, lai noteiktu izmaksu veidu, kas nepieciešams pakalpojuma sniedzēja piesaistīšanai (t.sk. arī pakalpojumu sniedzēju, kuri tiek piesaistīti uz uzņēmuma līguma pamata).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skaidrojam, ka šāda projektā piesaistāmo pakalpojumu sniedzēju izmaksu terminoloģija tiek lietota arī Labklājības ministrijas (turpmāk – LM) pārziņas Eiropas Savienības (turpmāk – ES) fondu finansēto programmu reglamentējošos Ministru kabineta (turpmāk – MK) noteikumos atbilstoši Finanšu ministrijas kā ES fondu vadošās iestādes vadlīniju “Vadlīnijas attiecināmo un neattiecināmo izmaksu noteikšanai 2014.-2020.gada plānošanas periodā” 16.punktā noteiktajam. Šādu praksi LM pārņem arī uz Atveseļošanas fonda investīcijās pieļaujamo izmaksu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20. un 21. punktā svītrot norādes par šajā ziņojumā noteikto uzdevumu izpildi, jo šādām norādēm nav juridiskas slodzes, ņemot vērā, ka ziņojums atbilstoši Ministru kabineta 2021. gada 7. septembra noteikumu Nr. 606 "Ministru kabineta kārtības rullis" 47. punktam ir informācija vai pārskats par Ministru kabineta kompetencē esoša jautājuma risināšanas gaitu, par Ministru kabineta atbalstīta plānošanas dokumenta īstenošanu vai tiesību akta izpildi, t.i., ziņojums nav tiesību akts, kurā var paredzēt saistošus uzdevumus institūcijām.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20. un 21.punkts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pamatotu skaidrojumu par Eiropas Parlamenta un Padomes 2021. gada 12. februāra Regulas (ES) 2021/241, ar ko izveido Atveseļošanās un noturības mehānismu prasībām, kuras nepieciešams ieviest saistībā ar investīcijas īstenošanu (no ziņojuma satura izriet, ka tajā ietverti vairāki nosacījumi, ar kuriem paredzēts nodrošināt minētās regulas prasību īstenošanu). Norādām, ka Eiropas Savienības Tiesa spriedumā lietā Nr. 39/72 </w:t>
            </w:r>
            <w:r w:rsidR="00000000" w:rsidRPr="00000000" w:rsidDel="00000000">
              <w:rPr>
                <w:i w:val="1"/>
                <w:rtl w:val="0"/>
              </w:rPr>
              <w:t xml:space="preserve">Komisija pret Itāliju</w:t>
            </w:r>
            <w:r w:rsidR="00000000" w:rsidRPr="00000000" w:rsidDel="00000000">
              <w:rPr>
                <w:rtl w:val="0"/>
              </w:rPr>
              <w:t xml:space="preserve"> cita starpā noteica, ka regula automātiski ir nacionālās tiesiskās sistēmas sastāvdaļa. Tādēļ ir prettiesiski tādi nacionālie regulas normas īstenošanas mehānismi, kas rada šķēršļus regulas tiešam efektam un apdraud vienlaicīgu un vienādu tās piemērošanu Eiropas Savienībā, bet tai pašā laikā ir jānodrošina to tiešā piemērošana katrā dalībvalstī. Tas nozīmē, ka dalībvalstij ir pienākums nodrošināt tādu normatīvo bāzi, lai regulas būtu iespējams tieši piemērot. Tai skaitā lūdzam skaidrot, kā tiek nodrošināta iespēja minēto regulu tieši piemērot, piemēram, attiecībā uz regulas 5. panta 2. punkta un 22. panta 1. punkta u.c. īstenošanu.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12. februāra Regulas (ES) 2021/241, ar ko izveido Atveseļošanās un noturības mehānismu 22. panta 5. panta 2. punktā un 22. panta 1. punktā noteikto prasību izpildei informatīvais ziņojums papildināts ar jaunu 34.10. apakšpunktu, kurā noteikts finansējuma saņēmēja pienākums, īstenojot investīcijas projektu, ievērot Atveseļošanas fonda plāna 1. pielikuma “Principa “Nenodarīt būtisku kaitējumu” novērtējums”  investīcijas izvērtējumā ietvertos  principus. Savukārt informatīvā ziņojuma 34.2. apakšpunkts (iepriekš 35.2. apakšpunkts) papildināts, ar nosacījumiem, kādi pasākumi finansējuma saņēmējam jānodrošina, lai investīcijas projekta īstenošanas laikā tiktu ievēroti interešu konflikta, korupcijas un krāpšanas novēršanas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ziņojuma 15.1. apakšpunkta "a" un "b" punktu. Norādām, ka nav saprotams pamats paredzēt finansējuma saņēmējam iesniegt viena un tā paša dokumenta attiecīgi kopiju un izrakstu, ko, nepastāvot attiecīgai nepieciešamībai, varētu novērtēt kā nepamatotu administratīvo slogu. Norādām, ja 15.1. apakšpunkta "b" punkta mērķis ir apliecināt atbilstību Eiropas Savienības Padomes 2021. gada 5. jūlija Īstenošanas lēmuma par Latvijas atveseļošanas un noturības mehānisma plāna novērtējuma apstiprināšanu pielikumā ietvertajam atskaites punkta aprakstam, tad atbilstošāks risinājums varētu būt attiecīga pamatojuma (skaidrojuma) sniegšana līdz ar ziņojuma 15.1. apakšpunkta "a" minētā dokumenta kopijas iesniegšanu. Alternatīvi lūdzam sniegt pamatotu skaidrojumu par ziņojuma 15.1. apakšpunkta "b" punkta  nepieciešamību un mērķi.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15.1.  apakšpunktā iekļautais atskaites punkta pārbaudes mehānisms atbilst Atveseļošanas un noturības mehānisma Darbības kārtībā, par kuru vienojas Eiropas Komisija un Latvija, 124.punktā noteiktajam.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ziņojuma 15. punktā skaidrot, kā tiek apliecināta šī ziņojuma 14.3.2. apakšpunktā minētā kopējā rādītāja izpilde.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ir papildināts ar 15.6.apakšpunktu, nosakot, ka minētā kopējā rādītāja izpildi apliecina vadības informācijas sistēmā, aizpildot pārskatu par personām, kuras piedalījušās izglītības vai apmācību pasākumos projekta ietvaros. Vienlaikus 16.punktā papildināti nosacījumi datu uzkrāšanai. Skatīt pamatojumu izziņas 39.punktā.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III nodaļas nosaukumu, nodrošinot konsekventu terminoloģijas lietojumu un norādot uz attiecināmajām izmaksām, nevis atbalstāmajām izmaksām. Uzsveram, ka viena jēdziena izteikšanai jāizmanto vieni un tie paši termini. Iekšējā terminoloģiskā konsekvence veicina juridiskā dokumenta skaidrību, novēršot pretrunīgus viedokļus vai šaubas par dažādu terminu saturu.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III. nodaļas nosaukums precizēts uz “III. Atbalstāmās darbības un izmaksu attiecināmības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1.2. apakšpunktā noteiktos ziņojuma satura elementus, lūdzam ziņojumā norādīt investīcijas pieejamo finansējumu. Kā arī lūdzam sniegt pamatotu skaidrojumu par pievienotās vērtības nodokļa kā neattiecināmā finansējuma ietveršanu investīcijas kopējā finansējumā. Norādām, ka nav skaidrs, ar ko attiecināmais finansējums atšķiras no neattiecināmā finansējuma, jo atbilstoši ziņojuma 1.4. apakšpunktam attiecināmas vai neattiecināmas ir izmaksas (kas pretēji ziņojuma pamattekstam atbilst ziņojuma pielikumā lietotajai terminoloģijai). Ja atbilstošu skaidrojumu nav iespējams sniegt, lūdzam atbilstoši precizēt ziņojumu, salāgojot ziņojuma 17. punktu un nepieciešamības gadījumā citas vienības ar ziņojuma 1. 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17. un 19.punktā, 34.6.apakšpunktā (iepriekš 35.6.apakšpunkts) un pielikumā terminoloģija ir precizēta. Pievienotās vērtības nodoklis tiks segts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vai svītrot ziņojuma 22.4. apakšpunktu. Proti, norādām, ka arī šī ziņojuma 22.1., 22.2., 22.3. apakšpunktā minētās atbalstāmās darbības var novērtēt kā investīcijas projekta īstenošanu, kādēļ nepieciešams atbilstoši konkretizēt, kā saskaņā ar 224. apakšpunktu izpaužas investīcijas projekta īstenošana, jo pretējā gadījumā nav skaidrs attiecīgo investīcijas projekta aktivitāšu tvērums.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22.4. apakšpunkts ir precizēts. Skaidrojam, ka atbalstāmā darbība “investīcijas projekta vadība un īstenošana” iekļauta informatīvajā ziņojumā, ņemot vērā līdzšinēji izmantoto praksi ES fondu finansēto programmu reglamentējošos MK noteikumos. Šāda atbalstāmā darbība nepieciešama, lai pamatotu ne tikai tāda īstenošanas personāla piesaisti, kas tieši īsteno kādas investīcijas projekta atbalstāmās darbības (piemēram, galvenais speciālists metodiķis tieši piedalās metodikas vai kompetenču attīstības programmas izstrādē), bet piedalās atbalstāmo darbību  īstenošanā arī pastarpināti. Piemēram, tehniskais eksperts sagatavo dokumentāciju un darba uzdevumus, kas nepieciešami būvniecības projektu izstrādei un  būvniecības uzsākšanai, koordinē un kontrolē to izpildi, iepirkuma speciālists organizē visu investīcijas projekta iepirkumu procedūras, t.sk., tirgus aptaujas, komunikācijas speciālists ne tikai organizē mērķtiecīgu informācijas plūsmu par projekta darbībām, bet, piemēram,  darbojas arī mērķa grupas dalībnieku piesaistē un grupu komplektēšanā kompetenču attīstības programmas un profesionālās rehabilitācijas pakalpojuma aprobācijai u.tml.</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pielikumu ar detalizētu informāciju, norādot personāla izmaksu aprēķina tabulā attiecīgos amatu nosaukumus, kā arī to atbilstību Valsts un pašvaldību institūciju amatu katalogā noteiktajām amatu saimēm un līmeņiem, kā arī tiem atbilstošās mēnešalgu grupas.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ieskatā informatīvā ziņojuma pielikumā nav nepieciešams atspoguļot detalizētu skaidrojumu par plānotā projekta īstenošanas personāla amatiem, amatu saimēm un līmeņiem, mēnešalgu grupām. Detalizēts amatu vietu aprēķins tiks iesniegts pieprasot 2022.gada  finansējumu no budžeta resora “74. Gadskārtējā valsts budžeta izpildes procesā pārdalāmais finansējums” 80.00.00 programmas “Nesadalītais finansējums Eiropas Savienības politiku instrumentu un pārējās ārvalstu finanšu palīdzības līdzfinansēto projektu un pasākumu īstenošanai” un precizējot bāzi 2023.-2025.gadam.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41. punktā nedublēt ziņojuma 21. punktā ietverto informāciju par to, ka Aģentūra ir finansējuma saņēmēja.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40.punkts (iepriekš 41.punkts)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ziņojumu, nodrošinot konsekventu un skaidru terminoloģijas lietojumu. Norādām, ka šobrīd: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nav skaidrs, no kā konkrēti sastāv projekta informācija un vai tā ietverta konkrētā dokumentā (-os) (tai skaitā, vai tā ietver sevī ziņojuma 26.1.2. apakšpunktā ietverto veidlapu, kura arī iesniedzama nozares ministrijai), ko nozares ministrija apstiprina (atbalsta);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nav skaidrs, kurā brīdī projekta informācija atbilstoši ziņojumam kļūst par projektu, jo, piemēram, ziņojuma 40.1. apakšpunktā tiek lietoti abi minētie termini.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26. punkts un 39.1. apakšpunkts (iepriekš 40.1. apakšpunkts) precizēts.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Ziņojuma 44. punkts paredz, ka ilgtspējas nodrošināšanai pēc investīcijas projekta noslēgšanās tiks veikti nepieciešamie grozījumi normatīvajos aktos, pilnveidojot valsts deleģētas un valsts finansētās sociālās un profesionālās rehabilitācijas pakalpojumu funkcijas, lai nodrošinātu moderna, pieredzē un praksē balstīta kompetenču attīstības centra neformālo aprūpētāju apmācībai un speciālistu apmācībai darbam ar personām ar funkcionāliem traucējumiem, darbību. Saistībā ar minēto lūdzam skaidrot, vai ar investīcijas projekta noslēgšanos saprotams šā ziņojuma 48. punktā minētais datums. Attiecīgā gadījumā lūdzam ziņojuma 44. punktā atsaukties uz minēto datumu vai citu konkrētu datumu, tādējādi nodrošinot nepārprotamu ziņojuma 44. punkta izteiksmi.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43.punkts (iepriekš 44.punkts) ir precizēts. Skatīt izziņas 18.punktu.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projekta 22.3.apakšpunkts nosaka, ka investīcijas projekta īstenošanai kā viena no atbalstāmajām darbībām ir informācijas un publicitātes pasākumu īstenošana, savukārt informatīvā ziņojuma 23.punktā netiek norādīts, ka investīcijas projektā plānotas izmaksas minētā pasākuma īstenošanai, vienlaikus arī informatīvā ziņojuma pielikumā minētajai darbībai nav plānots finansējums. Ņemot vērā minēto, lūdzam precizēt informatīvo ziņojumu un tā pielikumu.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ir precizēts. Izpildot Komisijas un Latvijas Republikas Atveseļošanas un noturības mehānisma finansēšanas nolīguma 10.punktu, informācijas un publicitātes pasākumus finansējuma saņēmējs nodrošinās no saviem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23.5.apakšpunktu, norādot, ka investīcijas projekta ietvaros nav attiecināmas pievienotās vērtības nodokļa izmaksas, ņemot vērā informatīvā ziņojuma projekta 17.punktā paredzēto.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23.5. 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44.punktu, norādot indikatīvā finansējuma apmēru, kas būs nepieciešams ilgtspējas nodrošināšanai pēc investīcijas projekta noslēgšanās, un kāda veida izdevumiem tas nepieciešams. Vēršam uzmanību, ka Ministru kabineta 2012.gada 11.decembra noteikumu Nr.867 “Kārtība, kādā nosakāms maksimāli pieļaujamais valsts budžeta izdevumu kopapjoms un maksimāli pieļaujamais valsts budžeta izdevumu kopējais apjoms katrai ministrijai un citām centrālajām valsts iestādēm vidējam termiņam”  10.4.apakšpunkts attiecas uz  izdevumiem pabeigto Eiropas Savienības politiku instrumentu un pārējās ārvalstu finanšu palīdzības līdzfinansēto projektu uzturēšanai, ja projekts vai tā posms ir pilnībā pabeigts, nodots ekspluatācijā un par to ir veikts galīgā norēķina maksājums, un tas turpmāk jāfinansē no valsts budžeta līdzekļiem. Savukārt, ja izdevumi, kas minēti informatīvā ziņojuma projekta 44.punktā, nav attiecināmi uz projekta uzturēšanas izdevumiem, tad jautājums par papildu finansējuma piešķiršanu skatāms Ministru kabinetā gadskārtējā valsts budžeta likumprojekta un vidēja termiņa budžeta ietvara likumprojekta sagatavošanas un izskatīšanas procesā kopā ar visu ministriju iesniegtajiem pieteikumiem prioritārajiem pasākumiem atbilstoši valsts budžeta finansiālajām iespējām, Labklājības ministrijai iesniedzot attiecīgu pieteikumu prioritārajam pasākumam, turklāt 44.punktā paredzētie grozījumi normatīvajos aktos virzāmi izskatīšanai Ministru kabinetā tikai pēc finansējuma piešķiršanas attiecīgo pasākumu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43. punkts (iepriekš 44. punkts) ir papildināts, prognozējot projekta rezultātu ilgtspējai indikatīvi nepieciešamā finansējuma apmēru, tai skaitā ventilācijas sistēmas uzturēšanai (pēc investīcijas projektā plānoto būvdarbu pabeigšanas), iegādātās elektroautomašīnas, tehnoloģiskā aprīkojuma un materilātehnisko līdzekļu uzturēšanai pēc to pieņemšanas ekspluatācijā un gala norēķinu veikšanas.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investīcijas projektā izstrādātās kompetenču attīstības programmas un sociālās profesionālās rehabilitācijas pakalpojuma ilgtspējai nepieciešamā finansējuma apmēru būs iespējams aprēķināt tikai pēc minēto pakalpojumu aprobācijas izmēģinājuma projektos. Šobrīd nav iespējams prognozēt nedz reālo, nedz indikatīvo izmaksu apmēru, jo tikai projekta īstenošanas laikā tiks noskaidrots plānotais sociālās un profesionālās rehabilitācijas pakalpojuma un kompetenču attīstības programmas saturs un ilgums, kā arī to nodrošināšanā iesaistītais personāls (speciālisti), to darba apjoms un attiecīgi atlīdzība. Tā piemēram, investīcijas projekta ietvaros tiks ne tikai aprakstīs katra kompetenču attīstības programmas moduļa saturs, bet arī tā ilgums, pie tam dažādiem cilvēkiem var būt nepieciešams apgūt dažādu moduļu skaitu. Līdz ar to šai investīcijas projekta stadijā jebkurš nākotnes izmaksu aprēķins nevar būt pietiekami objektīvs iepriekš minēto iemeslu dēļ, kā arī šobrīd notiekošā un nākotnē prognozējamā straujā preču un pakalpojumu cenu pieauguma dēļ.</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pielikumu ar detalizētu aprēķinu/skaidrojumu par projekta īstenošanas personāla kopējās izmaksās ietvertajām sociālās apdrošināšanas obligātajām iemaksām, jo pēc sniegtās metodikas nav saprotams iemaksu apmērs un līdz ar to arī kopējais personāla finansējuma aprēķins.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3.1.apakšpunkts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pielikumu ar detalizētu aprēķinu/skaidrojumu finansējumam, ko veido veselības apdrošināšanas polises izmaksas.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pielikuma 3.1.apakšpunkts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pielikumā ailē “Projekta īstenošanas izmaksas kopējās izmaksas, euro” norādīto kopējo finansējumu, jo, matemātiski saskaitot attiecināmo finansējumu un valstī noteikto PVN, tas veidojas 6 737 428 </w:t>
            </w:r>
            <w:r w:rsidR="00000000" w:rsidRPr="00000000" w:rsidDel="00000000">
              <w:rPr>
                <w:i w:val="1"/>
                <w:rtl w:val="0"/>
              </w:rPr>
              <w:t xml:space="preserve">euro</w:t>
            </w:r>
            <w:r w:rsidR="00000000" w:rsidRPr="00000000" w:rsidDel="00000000">
              <w:rPr>
                <w:rtl w:val="0"/>
              </w:rPr>
              <w:t xml:space="preserve"> nevis 6 737 429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precizētas projekta kopējās izmaksas, t.sk. pievienotās vērtības nodokļa apmērs.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no ziņojuma 30. punkta viennozīmīgi skaidri neizriet tas, vai ziņojuma 22.1.2. apakšpunktā un 30. punktā minētā metodika ir viena un tā pati. Attiecīgā gadījumā lūdzam atbilstoši precizēt ziņojumu, nodrošinot tajā (piemēram, 31. punktā) precīzas atsauces uz minēto apakšpunktu. Alternatīvi lūdzam sniegt pamatojumu vairāku metodiku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31.punkts ir precizēts, informācijas nepārprotamības nolūkā norādot atsauci uz 22.1.2. apakšpunktā minētās atbalstāmās darbības ietvaros izstrādāto metodiku neformālajiem aprūpētājiem.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noteiktības nolūkā lūdzam ziņojuma 40.1. apakšpunktā precizēt atsauci uz šī ziņojuma 14. punktu. Proti, norādām, ka nav nepārprotami skaidrs, vai minētajā apakšpunktā ar atskaites punktu saprotami 14.1. apakšpunktā uzskaitītie atskaites punkti, vai attiecīgais termins ("atskaites punkts") lietots plašākā nozīmē.</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39.1. apakšpunkts (iepriekš 40.1. apakšpunkts) ir precizēts (atsaucei jābūt uz 14.1. apakšpunktu).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salāgot terminoloģiju informatīvā ziņojuma 14.1.1. apakšpunktā ar Darbības kārtības dokumenta latvisko versiju, ņemot vērā to, ka Darbības kārtības dokumentā, termins “arodrehabilitācija” rādītāja nosaukumā apzīmēts, kā “profesionālā rehabilitācija” (Rādītāja nosaukums Darbības kārtībā: </w:t>
            </w:r>
            <w:r w:rsidR="00000000" w:rsidRPr="00000000" w:rsidDel="00000000">
              <w:rPr>
                <w:i w:val="1"/>
                <w:rtl w:val="0"/>
              </w:rPr>
              <w:t xml:space="preserve">Pieņemts profesionālās rehabilitācijas pakalpojuma apraksts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14.1.1. apakšpunkts ir precizēts atbilstoši Atveseļošanas un noturības mehānisma Darbības kārtībai, par kuru vienojas Eiropas Komisija un Latvija.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salāgot rādītāja nosaukumu informatīvā ziņojuma 14.1.2.apakšpunktā ar Darbības kārtības dokumenta latvisko versiju. Rādītāja nosaukums Darbības kārtībā: </w:t>
            </w:r>
            <w:r w:rsidR="00000000" w:rsidRPr="00000000" w:rsidDel="00000000">
              <w:rPr>
                <w:i w:val="1"/>
                <w:rtl w:val="0"/>
              </w:rPr>
              <w:t xml:space="preserve">Ēku infrastruktūras pielāgošana, </w:t>
            </w:r>
            <w:r w:rsidR="00000000" w:rsidRPr="00000000" w:rsidDel="00000000">
              <w:rPr>
                <w:b w:val="1"/>
                <w:i w:val="1"/>
                <w:rtl w:val="0"/>
              </w:rPr>
              <w:t xml:space="preserve">tostarp </w:t>
            </w:r>
            <w:r w:rsidR="00000000" w:rsidRPr="00000000" w:rsidDel="00000000">
              <w:rPr>
                <w:i w:val="1"/>
                <w:rtl w:val="0"/>
              </w:rPr>
              <w:t xml:space="preserve">vides piekļūstamības un energoefektivitātes veicināšana, kā arī tehniskā un materiālā aprīkojuma uzlabošana.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14.1.2. apakšpunkts ir precizēts atbilstoši Atveseļošanas un noturības mehānisma Darbības kārtībai, par kuru vienojas Eiropas Komisija un Latvija.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informatīvā ziņojuma 14.1.3. apakšpunktā minētā rādītāja nosaukums Darbības kārtības dokumenta latviskajā versijā ir norādīts vienskaitlī: </w:t>
            </w:r>
            <w:r w:rsidR="00000000" w:rsidRPr="00000000" w:rsidDel="00000000">
              <w:rPr>
                <w:i w:val="1"/>
                <w:rtl w:val="0"/>
              </w:rPr>
              <w:t xml:space="preserve">Ir izveidots un apstiprināts jauns sociālās un profesionālās rehabilitācijas pakalpojumu standarts, lai veicinātu cilvēku ar funkcionāliem traucējumiem drošumspēju.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14.1.3. apakšpunkts ir precizēts atbilstoši Atveseļošanas un noturības mehānisma Darbības kārtībai, par kuru vienojas Eiropas Komisija un Latvija.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informatīvā ziņojuma 14.2.apakšpunktā terminoloģiju salāgot ar Darbības kārtības dokumenta latvisko versiju, aizstājot “starpposma rādītājs” ar “uzraudzības rādītājs”.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14.2. apakšpunkts ir precizēts atbilstoši Atveseļošanas un noturības mehānisma Darbības kārtībai, par kuru vienojas Eiropas Komisija un Latvija.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uzraudzības rādītāja nosaukumu, pamatojoties uz Darbības kārtības latvisko versiju: </w:t>
            </w:r>
            <w:r w:rsidR="00000000" w:rsidRPr="00000000" w:rsidDel="00000000">
              <w:rPr>
                <w:i w:val="1"/>
                <w:rtl w:val="0"/>
              </w:rPr>
              <w:t xml:space="preserve">Ekspertu grupa ir izstrādājusi jaunu metodiku saistībā ar kompetenču centru.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14.2. apakšpunkts ir precizēts atbilstoši Atveseļošanas un noturības mehānisma Darbības kārtībai, par kuru vienojas Eiropas Komisija un Latvija.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finansējuma saņēmējam jānodrošina visu projektā paredzēto atbalstāmo darbību īstenošana, lūgums precizēt informatīvā ziņojuma 32.punktu.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32.punkts ir svītrots, vienlaikus precizējot  30. punktu attiecībā par investīcijas projektā plānoto atbalstāmo darbību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informatīvā ziņojuma 38.3.apakšpunktu atbilstoši MK noteikumu Nr. 621. formulējumam. Ierosinām svītrot vārdus “pamatojošai dokumentācijai”, lai pēc būtības netiktu likts uzsvars uz pamatojošās dokumentācijas pārbaudēm, bet atskaites punkta pārbaudi.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37.3. apakšpunkts (iepriekš 38.3. apakšpunkts) ir precizēts, saglabājot norādi uz pamatojošās dokumentācijas pārbaudi. Skaidrojam, ka saskaņā ar “Vadlīniju informatīvā ziņojuma vai Ministru kabineta noteikumu izstrādei par Eiropas Savienības Atveseļošanas un noturības mehānisma plāna reformas vai investīcijas ieviešanu” 67.punktu ir “[..]nepieciešams plānot pārbaužu un uzraudzības pasākumus, tā, lai līdz minētajam termiņam būtu iespējams gūt pārliecību par atskaites punktu un mērķu sasniegšanu,</w:t>
            </w:r>
            <w:r w:rsidR="00000000" w:rsidRPr="00000000" w:rsidDel="00000000">
              <w:rPr>
                <w:u w:val="single"/>
                <w:rtl w:val="0"/>
              </w:rPr>
              <w:t xml:space="preserve"> to pamatojošās dokumentācijas pietiekamību</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16.punktu, norādot, kādi personas dati tiks apstrādāti, lai nodrošinātu Eiropas Padomes un Parlamenta 2021.gada 12.februāra regulas Nr.2021/241, ar ko izveido Atveseļošanas un noturības mehānismu 22.panta 2.punta d.apakšpunktā noteiktās prasības, kā arī dati tiks apstrādāti minētās regulas 22.panta 3.punktā noteiktam mērķim, ievērojot personas datu apstrādi regulējošos normatīvos aktus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34.13. apakšpunktu par finansējuma saņēmējam pienākumiem attiecībā uz personas datu apstrādi un uzkrāšanu investīcijas projekta ietvaros saskaņā ar Eiropas Parlamenta un Padomes 2016. gada 27. aprīļa Regulu (ES) Nr. 2016/679 par fizisku personu aizsardzību attiecībā uz personas datu apstrādi un šādu datu brīvu apriti un ar ko atceļ Direktīvu 95/46/EK.</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vai svītrot ziņojuma 22.4. apakšpunktu, jo pēc būtības augstāk minētās darbības ir projekta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22.4. apakšpunkts ir precizēts. Lūdzam skatīt skaidrojumu izziņas 11.punktā.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Sociālās integrācijas valsts aģentūra ir Valsts budžeta finansēta iestāde, lūdzu izvērtēt vai ziņojuma 23.1. apakšpunktā minētās personāla izmaksas nav pretrunā Eiropas Komisijas attiecināmo izmaksu ierobežojumiem.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Personāla izmaksu attiecināšanas nosacījumi izvērtēti Atveseļošanas fonda plāna, t.sk. izmaksu pamatojuma, izstrādes laikā.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īstenošana nav finansējuma saņēmēja - SIVA ikdienas funkcija, attiecīgi investīcijas projekta īstenošanas personāls tiks piesaistīts terminēti uz investīcijas projekta īstenošanas laiku. Investīcijas projekta vadības personāla izmaksas finansējuma saņēmējs segs no saviem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un, ja attiecināms, papildināt ziņojuma 26.3. apakšpunktu ar nosacījumu, ka finansējuma saņēmējs tiek pārbaudīts atbilstoši arī izslēgšanas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projekta finansējuma saņēmējs – SIVA ir valsts tiešās pārvaldes iestāde. Eiropas Parlamenta un Padomes 2018. gada 18. jūlija Regulas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136.pantā minētie izslēgšanas kritēriji pēc būtības nav attiecināmi uz valsts budžeta iestādēm.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vai ziņojuma 28. punktā finansējuma saņēmēja iekļaušana padomē neradīs interešu konfliktu.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SIVA konsultatīvās padomes sastāvā ir iekļauta SIVA vadība -  aģentūras direktors, direktora vietnieks sociālās rehabilitācijas jomā un direktora vietnieks profesionālās rehabilitācijas jomā. SIVA vadības un investīcijas projekta īstenošanas personāla, kas piedalās projekta atbalstāmo darbību īstenošanā, t.sk. profesionālās rehabilitācijas pakalpojuma standarta, metodikas neformālajiem aprūpētājiem un kompetenču attīstības programmas izstrādē, funkcijas ir nošķirtas un nerada interešu konfliktu.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ziņojuma 31. punktā uz kāda pamata tik piesaistīti eksperti. No ziņojuma izriet, ka pakalpojumu sniedzējus, kas minēti ziņojuma 30.punktā, tiek izvēlēti atbilstoši Publisko iepirkumu likumam. Vai eksperti tiek piesaistīt kā sadarbības partneri?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31. punkts ir precizēts - nozares eksperti tiks piesaistīti Publisko iepirkumu likumā noteiktajā kārtībā.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35.5 apakšpunktu, norādot, ka informācijas un publicitātes pasākumus nodrošina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35.5. šī ziņojuma 22.3. apakšpunktā minētos informācijas un publicitātes pasākumus nodrošina saskaņā ar Eiropas Parlamenta un Padomes 2021. gada 12. februāra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34.5 apakšpunkts (iepriekš 35.5. 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Lūdzu izvērtēt iespēju ziņojuma 44. punktā papildināt protokollēmumu ar uzdevumu un termiņu kādā jāizstrādā attiecīgie normatīvie akti.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43. punkts (iepriekš (44.punkts) ir precizēts un MK sēdes protokollēmuma projekts papildināts ar uzdevumu LM veikt grozījumus Sociālo pakalpojumu un sociālās palīdzības likumā, papildinot SIVA funkcijas, sniedzamos pakalpojumus un to saņēmējus.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projekta 14.3.1. un 14.3.2.apakšpunktā minēto kopējo rādītāju definīciju atbilstoši "Komisijas deleģētās regulas (ES) 2021/2106 (2021. gada 28. septembris), ar kuru, nosakot atveseļošanas un noturības rezultātu pārskata kopējos rādītājus un detalizētos elementus, papildina Eiropas Parlamenta un Padomes Regulu (ES) 2021/241, ar ko izveido Atveseļošanas un noturības mehānismu" tulkojumam latviešu valodā </w:t>
            </w:r>
            <w:r w:rsidR="00000000" w:rsidRPr="00000000" w:rsidDel="00000000">
              <w:rPr>
                <w:i w:val="1"/>
                <w:rtl w:val="0"/>
              </w:rPr>
              <w:t xml:space="preserve">(EUR-Lex - 32021R2106 - EN - EUR-Lex (europa.eu)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ņemot vērā, ka atbilstoši EK vadlīnijām par kopējo rādītāju ziņošanu, 14.3.2.apakšpunktā minētais rādītājs būs jāziņo pa vecuma grupām, kā arī jānorāda, kuras no personām ir piedalījušās digitālo prasmju pilnveidē </w:t>
            </w:r>
            <w:r w:rsidR="00000000" w:rsidRPr="00000000" w:rsidDel="00000000">
              <w:rPr>
                <w:i w:val="1"/>
                <w:rtl w:val="0"/>
              </w:rPr>
              <w:t xml:space="preserve">(Participants in digital skills training)</w:t>
            </w:r>
            <w:r w:rsidR="00000000" w:rsidRPr="00000000" w:rsidDel="00000000">
              <w:rPr>
                <w:rtl w:val="0"/>
              </w:rPr>
              <w:t xml:space="preserve">, lūdzam papildināt noteikumu projekta punktu ar normu par šo dalījumu, lai nodrošinātu finansējuma saņēmējam viennozīmīgu izpratnei par uzkrājamajiem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izvērtēt un nepieciešamības gadījumā precizēt nosacījumus par unikālo personu ziņošanu atbilstoši EK vadlīnijām par kopējiem radītājiem, ņemot vērā, ka EK vadlīnijas pie šī kopējā rādītāja attiecībā uz unikālo personu ziņošanu ir norādīts, ka gadījumā ir dalībnieks piedalās atsevišķās apmācībās, tad katrā no tām ziņojams kā unikāls </w:t>
            </w:r>
            <w:r w:rsidR="00000000" w:rsidRPr="00000000" w:rsidDel="00000000">
              <w:rPr>
                <w:i w:val="1"/>
                <w:rtl w:val="0"/>
              </w:rPr>
              <w:t xml:space="preserve">(Participation shall be counted per education or training activity, even if it lasts several years. Additionally, a participant to two different education or training activities should be counted twice – once per training or education activity (as defined in the general principles)</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14.3.1. un 14.3.2. apakšpunktā minēto kopējo rādītāju definīcijas ir precizētas. Vienlaikus papildināts 16.punkts, nosakot, ka 14.3.2. apakšpunktā minētajā kopējā rādītājā ieskaita dalībniekus, kas piedalās informatīvā ziņojuma 22.1.1. un 22.1.3. apakšpunktā minētajā izmēģinājuma projektā (personas dalība tiek ieskaitīta katrā izglītības vai apmācības pasākumā). Kopējā rādītāja izpildes progresa atspoguļošanai Aģentūra uzkrās informāciju par atbalstu saņēmušajām personām, norādot personas dzimumu un vecuma grupu, tai skaitā par personām, kuras piedalījušās digitālo prasmju pilnveidē (ja attiecināms).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ziņojuma projekta 16.punktā atsauci uz 14.3.2.apakšpunktu, ņemot vērā, ka finansējuma saņēmējam jāuzkrāj dati par visām atbalstu saņēmušajām personām, kas var būt plašāks loks, nekā tās personas, kas tiek iesaistītas izglītībā vai apmācībās. Vienlaikus, lūdzam noteikt prasību finansējuma saņēmējam šos datus ievadīt KPVIS.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16.punkts ir papildināts, norādot, kas tiks ieskaitīts 14.3.2.apakšpunktā minētajā kopējā rādītājā un kādi dati par atbalstu saņēmušajām personām tiks uzkrāti. Investīcijas projekta īstenošanas laikā kopējā rādītājā “izglītības vai apmācības dalībnieku skaits” tiks ieskaitīti tikai 22.1.1. un 22.1.3. apakšpunktā minēto atbalstāmo darbību ietvaros izstrādātās kompetenču apmācību programmas izmēģinājuma projektā un sociālās un profesionālās rehabilitācijas pakalpojuma izmēģinājuma projektā iesaistītie dalībnieki.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17.punktā svītrot vārdu “neattiecināmais”, jo PVN segšanai plānotais finansējums ir attiecināms no valsts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17.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21.punktā precizēt atsauci uz AF plānu, ņemot vērā, ka MK (28.04.2021.) tika apstiprināts tikai AF plāna projekts, kas tika iesniegts saskaņošanā EK. Par AF plānu uzskatāma tā gala versija, kas saskaņota ar EK un apstiprināta ar Eiropas Padomes Īstenošanas lēmumu (ES) Nr. 2021/0164. AF plāna gala versija atrodama arī vietnē www.esfondi.lv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 punkts ir precizēts, norādot atsauci uz Atveseļošanas fonda plāna, kas apstiprināts ar Eiropas Padomes 2021. gada 6. jūlija Īstenošanas lēmumu (ES) Nr. 2021/0164 par Latvijas atveseļošanas un noturības mehānisma plāna novērtējuma apstiprināšanu, 1111.punktu.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(un nepieciešamības gadījumā precizēt ziņojuma projekta 21.punktu), vai ministrija izdos iekšējo normatīvo aktu par uzdevumu Aģentūrai īstenot projektu tikai pēc tam, kad būs sniegts pozitīvs vērtējums projekta pieteikuma ietvaros iesniegtajai informācijai.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 punkts ir precizēts. Skaidrojam, ka SIVA investīciju projekta īstenošana tiks uzdota, balstoties uz nozares ministrijas izdotu pārvaldes lēmumu (rīkojumu), kuru izdos ne vēlāk kā tiks sniegts pozitīvs vērtējums par finansējuma saņēmēja iesniegto projekta veidlapu.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23.3.apakšpunktu ar nosacījumu, ka pirms konkrēto izmaksu faktiskas veikšanas, nepieciešams apstiprināt metodiku, kā arī lūdzam skaidrot, kas apstiprinās atjaunoto vienas vienības izmaksu metodiku.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23.3. apakšpunkts (30. zemsvītras atsauce) ir precizēts. Investīcijas projektā tiks izmantota apvienota vienas vienības izmaksu standarta likmju aprēķina un piemērošanas metodika, kas tiks piemērota gan ES fondu projektu, gan investīcijas projekta īstenošanā, un LM vārdā to apstiprinās labklājības ministrs.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ziņojuma projekta 33.punktā minētās ēku lietošanas tiesības ir nostiprināts Valsts vienotajā datorizētajā zemesgrāmatā atbilstoši Finanšu ministrijas Vadlīniju informatīvā ziņojuma vai Ministru kabineta noteikumu izstrādei par Eiropas Savienības Atveseļošanas un noturības mehānisma plāna reformas vai investīcijas ieviešanu” 40.punktā noteiktajam.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32.punktā (iepriekš 33.punktā) minētās ēkas ir nostiprinātas Valsts vienotajā datorizētajā zemesgrāmatā (Jūrmalas pilsētas zemesgrāmatas nodalījums Nr.100000100250 un Nr. 100000194702).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35.2.apakšpunktu ar nosacījumu, kas iekļauts AF plāna 2.pielikumā, ka “visi cilvēkresursu līgumi ir terminēti un pieņemti konkursa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34.2. apakšpunkts (iepriekš 35.2.apakšpunkts) ir precizēts. Skaidrojam, ka Atbilstoši normatīvajiem aktiem darba tiesību jomā uz vakanto darbinieka amata vietu nav obligāti jārīko konkurss.  Atveseļošanas fonda attiecināmā finansējuma ietvaros tiks apmaksāts tikai investīcijas projekta īstenošanas personāls (darbinieki), kas tiks piesaistīts uz terminētu laiku (uz projekta īstenošanas laiku) un kuru amata pienākumi būs saistīti tikai ar investīcijas projekta īstenošanu un nedublēs SIVA pamatdarbībā nodarbināto pienākumus.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3.1.2.4.i investīcijas ietvaros īstenojamais projekts būtu uzskatāms par stratēģiskas nozīmes projektu AF plāna kontekstā, par kuru būtu nodrošināmi pastiprināti komunikācijas pasākumi. Nepieciešamības gadījumā lūdzam papildināt ziņojuma projekta 35.5.apakšpunktu.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projekts nav uzskatāms par stratēģiskas nozīmes projektu, par kuru nodrošināmi pastiprināti komunikācijas pasākumi. Investīcijas projektā tiks nodrošināti informācijas un publicitātes pasākumi atbilstoši Eiropas Parlamenta un Padomes 2021. gada 12. februāra Regulas Nr. (ES) 2021/241, ar ko izveido Atveseļošanās un noturības mehānismu 34. pantam un Eiropas Komisijas un Latvijas Republikas Atveseļošanas un noturības mehānisma finansēšanas nolīguma 10. pantu, kā arī Eiropas Savienības fondu 2021.–2027. gada plānošanas perioda un Atveseļošanas fonda komunikācijas un dizaina vadlīnijām.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45.punktu ar nosacījumu, ka finansējuma saņēmējam īstenojot projektu jāievēro AF plāna 1.pielikumā iekļautajā 3.1.2.4.i investīcijas ietekmes izvērtējumā ietvertie principi. Vienlaikus, lūdzam skaidrot, vai 3.1.2.4.investīcijas “nenodarīt būtisku kaitējumu” novērtējumā ir kādas prasības, kas pārsniedz nacionālo normatīvo regulējumu. Lūdzam izvērtēt, vai, gadījumā, ja ir šādas prasības, tās būtu iekļaujamas ziņojuma projektā, ņemot vērā, ka par tām ir panākta vienošanās ar EK, apstiprinot AF plānu ar tā pielikumiem, bet tās nav atbalsta saņēmējam saistošas ar nacionālajiem normatīvajiem aktiem.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papildināts ar jaunu 34.10. apakšpunktu, nosakot finansējuma saņēmējam pienākumu, īstenojot investīcijas projektu saskaņā ar Atveseļošanas fonda plāna 1. pielikuma “Principa “Nenodarīt būtisku kaitējumu” novērtējums” investīcijas izvērtējumu un atbilstoši Eiropas Parlamenta un Padomes 2021. gada 12. februāra Regulā (ES) Nr. 2021/241, ar ko izveido Atveseļošanās un noturības mehānismu 5. panta 2. punkta un Eiropas Parlamenta un Padomes 2020. gada 18. jūnija Regulas (ES) Nr.2020/85 par regulējuma izveidi ilgtspējīgu ieguldījumu veicināšanai un ar kuru groza Regulu (ES) 2019/2088 17. panta prasībām nodrošināt nacionālajos normatīvajos aktos noteikto principa “Nenodarīt būtisku kaitējumu” vides mērķu ievērošanu.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spēkā savu izteikto iebildumu par informatīvā ziņojuma pielikuma papildināšanu ar detalizētu informāciju, norādot personāla izmaksu aprēķina tabulā attiecīgos amatu nosaukumus, kā arī to atbilstību Valsts un pašvaldību institūciju amatu katalogā noteiktajām amatu saimēm un līmeņiem, kā arī tiem atbilstošās mēnešalgu grupas, jo norādot Projekta īstenošanas personāla izmaksas (mēnešalga EUR), Labklājības ministrijai būtu jābūt viedoklim kam tā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pielikums ir papildināts ar detalizētu informāciju, norādot šobrīd plānotā personāla amatu saimes un līmeņus, mēnešalgu grupas un kategorijas atbilstoši spēkā esošajiem normatīvajiem aktiem valsts un pašvaldības iestāžu amatu klasifikācijas jomā un mēnešalgas apmērs noteikts, nepārsniedzot spēkā esošajos normatīvajos aktos par valsts un pašvaldību institūciju amatpersonu un darbinieku darba samaksu un tās noteikšanas kārtību attiecīgās mēnešalgu grupas 3. kategorijai noteikto mēnešalgu (minētā informācija var mainīties, stājoties spēkā izmaiņām iepriekš minēto jomu normatīvajos aktos vai arī, ja īstenojot investīcijas projektu, rodas nepieciešamība precizēt projekta personālu.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informatīvā ziņojuma projekta 22.3.apakšpunktu, norādot, ka informācijas un publicitātes pasākumu īstenošana tiks nodrošināta Sociālās integrācijas valsts aģentūras piešķirto valsts budžeta līdzekļu ietvaros. Vienlaikus lūdzam precizēt informatīvā ziņojuma projekta pielikuma 5.piezīmi, vārdus “no saviem līdzekļiem” aizstājot ar vārdiem “piešķirto valsts budžeta līdzekļu ietvaros”.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22.3. apakšpunkts ir papildināts ar zemsvītras atsauci, precizēta arī informatīvā ziņojuma pielikuma 5.piezīme.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43.punktu, norādot, ka jautājums par papildu finansējuma piešķiršanu ziņojuma projekta 22.1.1. un 22.1.3.apakšpunktā minēto atbalstāmo darbību ilgtspējas nodrošināšanai tiks skatīts  Ministru kabinetā gadskārtējā valsts budžeta likumprojekta un vidēja termiņa budžeta ietvara likumprojekta sagatavošanas un izskatīšanas procesā kopā ar visu ministriju iesniegtajiem pieteikumiem prioritārajiem pasākumiem atbilstoši valsts budžeta finansiālajām iespējām, Labklājības ministrijai iesniedzot attiecīgu pieteikumu prioritārajam pasākumam, turklāt 43.punktā paredzētie grozījumi Sociālo pakalpojumu un sociālās palīdzības likumā, pilnveidojot Sociālās integrācijas valsts aģentūrai valsts deleģētās funkcijas, sniedzamos pakalpojumus un to saņēmējus, lai nodrošinātu moderna, pieredzē un praksē balstīta kompetenču centra darbību, virzāmi izskatīšanai Ministru kabinetā tikai pēc finansējuma piešķiršanas attiecīgo pasākumu īstenošanai, ņemot vērā, ka minētie izdevumi nav attiecināmi uz projekta uzturēšanas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43.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projekta pielikuma ailē “Noslodze (mēneši)” norādīto slodžu skaitu, ņemot vērā, ka atbilstoši pielikuma piezīmēs norādītajam finansējums paredzēts vienai slodzei.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informatīvā ziņojuma pielikuma ailē “Noslodze (mēneši)”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16. punktā skaidrot, kā tiks informācija iesniegta, līdz tiks nodrošināta atbilstoša funkcionalitāte KPVIS. Papildus lūdzam papildināt anotāciju ar skaidrojumu, ka apstrādājot personas datus tiks nodrošināti personu datu aizsardzības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15. punkta ievaddaļā noteikts, ka informācija iesniedzama informatīvā ziņojuma 25.punktā minētajā kartībā, t.i. gan KPVIS, gan elektroniska dokumenta veidā, ja nav nodrošināta atbilstoša KPVIS funkcionalitāte. Savukārt informatīvā ziņojuma 15.6. apakšpunktā noteikts, ka datus par dalībniekiem uzkrāj, aizpildot dalībnieku pārskatu par personām, kuras piedalījušās izglītības vai apmācību pasākumos (nav norādes, ka pārskats aizpildāms tikai KPVIS vidē). Attiecīgi ir precizēts informatīvā ziņojuma 16. punkta pēdējais teikums, paredzot personas datu apstrādi atbilstoši dalībnieku pārskatā uzkrājamai informācijai (neatkarīgi no tā, vai dalībnieku pārskats tiks sagatavots KPVIS vai ārpus 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informatīvā ziņojuma 34.13. un 38.5. apakšpunkta nosacījumi attiecībā uz finansējuma saņēmēja un nozares ministrijas pienākumiem fizisko personu datu aizsardzības jomā ir precizēti atbilstoši Valsts datu inspekcijas norādījumiem.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Izziņā skaidrots, ka "Investīcijas projekta vadības personāla izmaksas finansējuma saņēmējs segs no saviem līdzekļiem". Lūdzam atbilstoši precizēt ziņojuma 22.4. apakšpunkta redakciju.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22.4. apakšpunkts ir papildināts ar zemsvītras atsauci, precizēta arī informatīvā ziņojuma pielikuma 5.piezīme.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vadlīniju 31.punktā noteikto, atkārtoti lūdzam izvērtēt un papildināt ziņojuma 26.3. apakšpunktu, ka projekta iesniedzējs tiks izvērtēts atbilstoši Finanšu regulā noteiktajiem izslēgšanas kritērijiem, tik tāl cik tas attiecināms uz konkrēto investīciju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26.3. apakšpunkts ir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projekta 8.3.apakšpunktā veiktās izmaiņas (svītrots atbalsts nozares speciālistiem), lūdzam skaidrot, kāds atbalsts 3.1.2.4.i ietvaros tiek plānots sociālās nozares un izglītības nozares speciālistiem. Ņemot vērā Atveseļošanas un noturības mehānisma plānā noteikto mērķa grupu “sociālās nozares un izglītības nozares speciālisti” (kas atspoguļota arī ziņojuma projekta 12.punktā), lūdzam ziņojuma projektu papildināt ar atbalstu šai mērķa grupai.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8.3. apakšpunkts ir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Pielikums informatīvajam ziņojumam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- 20.05.2022.)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spēkā savu izteikto iebildumu par Informatīvā ziņojuma pielikuma detalizētās informācijas precizēšanu, personāla izmaksu aprēķina tabulā norādot korektu projektā iesaistīto personu amata nosaukumus, tiem atbilstošo saimi un līmeni, atbilstoši MK noteikumiem Nr. 262. Valsts un pašvaldību institūciju amatu katalogs, amatu klasifikācijas un amatu apraksta izstrādāšanas kārtība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pielikumā ietvertā informācija par investīcijas projekta īstenošanas personālu ir precizēta atbilstoši MK 2022. gada 26. aprīļa noteikumiem Nr.262 “Valsts un pašvaldību institūciju amatu katalogs, amatu klasifikācijas un amatu apraksta izstrādāšanas kārtība”.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investīcijas īstenošanai nepieciešamo neattiecināmo izmaksu ne mazāk kā 1 150 075  </w:t>
            </w:r>
            <w:r w:rsidR="00000000" w:rsidRPr="00000000" w:rsidDel="00000000">
              <w:rPr>
                <w:i w:val="1"/>
                <w:rtl w:val="0"/>
              </w:rPr>
              <w:t xml:space="preserve">euro</w:t>
            </w:r>
            <w:r w:rsidR="00000000" w:rsidRPr="00000000" w:rsidDel="00000000">
              <w:rPr>
                <w:rtl w:val="0"/>
              </w:rPr>
              <w:t xml:space="preserve"> apmērā segšanu no valsts budžeta līdzekļiem.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sēdes protokollēmuma projekta 3.punktu, aiz vārdiem “neattiecināmo izmaksu” iekavās norādot vārdus “pievienotās vērtības nodoklis” un aizstājot vārdus “ne mazāk kā” ar vārdiem “ne vairāk kā”. Vienlaikus lūdzam precizēt informatīvā ziņojuma projekta 17.punktu, aizstājot vārdus “ne mazāk kā” ar vārdiem “ne vairāk kā”.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3. punkts un informatīvā ziņojuma 17.punkts precizēts, norādot, ka indikatīvais finansējums ir valsts budžeta finansētās pievienotās vērtības nodokļa izmaksas, ko šobrīd precīzi noprognozēt nav iespējams, jo ir atkarīgas no noslēgto līgumu cenas, veida utt.</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Atbalstīt investīcijas īstenošanai nepieciešamā pievienotās vērtības nodokļa indikatīvi 1 150 262  </w:t>
            </w:r>
            <w:r w:rsidR="00000000" w:rsidRPr="00000000" w:rsidDel="00000000">
              <w:rPr>
                <w:i w:val="1"/>
                <w:rtl w:val="0"/>
              </w:rPr>
              <w:t xml:space="preserve">euro</w:t>
            </w:r>
            <w:r w:rsidR="00000000" w:rsidRPr="00000000" w:rsidDel="00000000">
              <w:rPr>
                <w:rtl w:val="0"/>
              </w:rPr>
              <w:t xml:space="preserve"> apmērā segšanu no valsts budžeta līdzekļiem.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ziņojuma  17. punktā u.c. līdzīgos gadījumos pieturzīmi iekavas aizstāt ar pieturzīmi domuzīme. Norādām, ka iekavās ietvertais teksts ir būtisks ziņojumā ietvertā satura noskaidrošanā un iekavās ietvertie skaidrojumi un precizējumi var padarīt ziņojumu neskaidru un var sašaurināt vai paplašināt tā tvērumu.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17. punkts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ziņojumu un nodrošināt, ka tajā ietverta tikai būtiska informācija, tai skaitā svītrojot norādes par elektronisko dokumentu parakstīšanu ar drošu elektronisko parakstu, kas izriet arī no normatīvajiem tiesību aktiem (informācijas aprite šajā gadījumā attiecas uz tiešās pārvaldes iestādēm), kā arī par to, ka Aģentūrai (Sociālās integrācijas valsts aģentūra) investīciju projekta  īstenošana tiks uzdota, balstoties uz nozares ministrijas izdotu iekšējo normatīvo aktu (rīkojumu).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pārskatīts un precizēts, nodrošinot, ka tajā ietverta tikai būtiska informācija. Vienlaikus saglabātas norādes par elektronisko dokumentu parakstīšanu ar drošu elektronisko parakstu. Skaidrojam, ka elektronisko dokumentu apriti reglamentējošie tiesību akti paredz elektroniskā dokumenta parakstīšanu gan ar elektronisko parakstu, gan ar drošu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Dokumenta juridiskā spēka likuma 5. panta pirmā daļa nosaka, ka tikai pašrocīgi parakstītajam dokumenta ir juridisks spēks. Savukārt, Elektronisko dokumentu likuma 3. panta otrā daļa nosaka, ka par pašrocīgi parakstītu elektronisko dokumentu uzskata elektronisko dokumentu, kas parakstīts ar drošu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Elektronisko dokumentu likuma 3. panta piektā daļa nosaka, ka elektroniskais dokuments uzskatāms par parakstītu, ja tam ir drošs elektroniskais paraksts un laika zīmogs.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Tiesiskai noteiktībai un skaidrībai uzskatam, ka pretendentiem, kas iesniegs dokumentus investīcijas īstenošanas procesā, ir jābūt informētiem, kādā veidā noformētie dokumenti tiks uzskatīti par iesniegtiem noteiktā veidā un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28.06.2005. noteikumu Nr. 473 “Elektronisko dokumentu izstrādāšanas, noformēšanas, glabāšanas un aprites kārtība valsts un pašvaldību iestādēs un kārtība, kādā notiek elektronisko dokumentu aprite starp valsts un pašvaldību iestādēm vai starp šīm iestādēm un fiziskajam un juridiskajam personām” 3. punktā  noteiktajam, prasību par drošu elektronisko parakstu un laika zīmogu var nepiemērot, ja puses ir rakstiski vienojušas par elektroniskā dokumenta parakstīšanu ar elektronisko parakstu.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precizēts informatīvā ziņojuma 21.punkts, nosakot, ka SIVA investīcijas projekta īstenošana tiks uzdota, balstoties uz nozares ministrijas izdotu pārvaldes lēmumu (rīkojumu). Minētais nepieciešams, jo starp LM un SIVA netiks slēgts līgums par investīcijas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ietvertās informācijas nepārprotamam atspoguļojumam lūdzam ziņojuma 15.2., 35.6. apakšpunktā un 44. punktā ietvert atsauces uz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15.2.punkts, 34.6. apakšpunkts (iepriekš 35.6. apakšpunkts) un  43.punkts (iepriekš 44.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juridiskās tehnikas prasībām juridiskos dokumentos visus lietotos saīsinājumus, rakstot pirmo reizi, atšifrē, iekavās norādot to turpmāko lietojumu. Kā arī, ja konkrētais apzīmējums tiek saīsināts, tad šis saīsinājums lietojams arī turpmāk tekstā. Attiecīgi lūdzam precizēt ziņojumu, piemēram, konsekventi tajā lietojot saīsinājumu "investīcijas", kā arī atrunājot saīsinājumu "PVN".</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Atveseļošanas fonda plānā ir precīzi definētas investīcijas nevis projekti, tādēļ informatīvajā ziņojumā plašākā kontekstā, aprakstot investīcijas saturu, mērķus, mērķa grupu, sasniedzamos atskaites punktus u.t.t. tiek lietots termins “investīcija”. Savukārt investīcijas projekts ir vienība, kas īsteno investīciju, attiecīgi informatīvā ziņojuma III. un IV. nodaļā, kur aprakstītas atbalstāmās darbības, izmaksu attiecināšanas nosacījumi, investīcijas īstenošanas un uzraudzības nosacījumi, kas ir saistīti ar finansējuma saņēmējam vai investīcijas īstenošanā iesaistītajām institūcijām veicamajiem pienākumiem, tiek lietots termins “investīcijas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Informatīvajā ziņojumā 17. punktā atrunāts pievienotās vērtības nodokļa saīsinājums, kas turpmāks tiek lietots visā tekstā.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tehniski precizēt ziņojuma 21. punktu, norādot korektu atsauci uz Ministru kabineta 2021. gada 28. aprīļa rīkojuma Nr. 292 ”Par Latvijas Atveseļošanas un noturības mehānisma plānu” vienību.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21. punkts ir precizēts. Skatīt izziņas 42. 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ziņojumā nodrošināt vienveidīgu terminoloģijas lietojumu un konsekventi norādīt uz: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investīcij</w:t>
            </w:r>
            <w:r w:rsidR="00000000" w:rsidRPr="00000000" w:rsidDel="00000000">
              <w:rPr>
                <w:u w:val="single"/>
                <w:rtl w:val="0"/>
              </w:rPr>
              <w:t xml:space="preserve">as</w:t>
            </w:r>
            <w:r w:rsidR="00000000" w:rsidRPr="00000000" w:rsidDel="00000000">
              <w:rPr>
                <w:rtl w:val="0"/>
              </w:rPr>
              <w:t xml:space="preserve"> vai investīcij</w:t>
            </w:r>
            <w:r w:rsidR="00000000" w:rsidRPr="00000000" w:rsidDel="00000000">
              <w:rPr>
                <w:u w:val="single"/>
                <w:rtl w:val="0"/>
              </w:rPr>
              <w:t xml:space="preserve">u</w:t>
            </w:r>
            <w:r w:rsidR="00000000" w:rsidRPr="00000000" w:rsidDel="00000000">
              <w:rPr>
                <w:rtl w:val="0"/>
              </w:rPr>
              <w:t xml:space="preserve">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ēkas energoefektivitātes veicināšanu, palielināšanu vai paaugstināšanu.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14.1.2. un 15.2.3. apakšpunkta lietotā terminoloģija attiecībā uz energoefektivitāti ir saskaņota ar Atveseļošanas un noturības mehānisma Darbības kārtībā, par kuru vienojas Eiropas Komisija un Latvija, 125.punktā noteikto. Savukārt informatīvā ziņojuma 22.2.2. apakšpunktā tiek lietots termins “energoefektivitātes paaugstināšana”, kas nepieciešams vienotai izpratnei par veicamajiem būvniecības darbiem.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15.2. apakšpunkta "b" punktā nodrošināt nepārprotamu izteiksmi un izvairīties no subjektīvas norādes par </w:t>
            </w:r>
            <w:r w:rsidR="00000000" w:rsidRPr="00000000" w:rsidDel="00000000">
              <w:rPr>
                <w:u w:val="single"/>
                <w:rtl w:val="0"/>
              </w:rPr>
              <w:t xml:space="preserve">īsu</w:t>
            </w:r>
            <w:r w:rsidR="00000000" w:rsidRPr="00000000" w:rsidDel="00000000">
              <w:rPr>
                <w:rtl w:val="0"/>
              </w:rPr>
              <w:t xml:space="preserve"> aprakstu, svītrojot vārdu "īsu" vai sniedzot konkrētus kritērijus attiecībā uz apraksta garumu.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15.2. apakšpunktā iekļautais atskaites punkta pārbaudes mehānisms ir saskaņots ar Atveseļošanas un noturības mehānisma Darbības kārtībā, par kuru vienojas Eiropas Komisija un Latvija, 125.punktā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nosaukumā norādīt arī reformas un investīciju virziena nosaukumu. Attiecīgi azinām precizēt nosaukumu arī MK sēdes protokollēmuma projektā.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 komponentes “Nevienlīdzības mazināšana” 3.1. reformu un investīciju virziena “Reģionālā politika” 3.1.2.4.i. investīcijas “Sociālās un profesionālās rehabilitācijas pakalpojumu sinerģiska attīstība cilvēku ar funkcionāliem traucējumiem drošumspējas veicināšanai” īstenošanu un uzraudzību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un MK sēdes protokollēmuma projekta nosaukums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5.2 punktā aizstāt vārdus “2014.-2020. gada Eiropas Savienības plānošanas perioda ” ar vārdiem “Eiropas Savienības struktūrfondu un Kohēzijas fonda 2014.-2020.gada plānošanas perioda”.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 profesionālās rehabilitācijas pakalpojuma ietvaros Aģentūra īsteno profesionālās vidējās izglītības, profesionālās pilnveides, profesionālās tālākizglītības, profesionālās pamatizglītības un arodizglītības programmas, kā arī pirmā līmeņa profesionālās augstākās izglītības programmas personām ar invaliditāti, prognozējamu invaliditāti, kā arī personām ar GRT. Eiropas Savienības struktūrfondu un Kohēzijas fonda 2014.-2020.gada plānošanas perioda Eiropas Sociālā fonda projekta Nr.9.1.4.1/16/I/001 “Personu ar invaliditāti vai garīga rakstura traucējumiem integrācija nodarbinātībā un sabiedrībā”[1] ietvaros Aģentūra personām ar GRT ir izveidojusi un adaptējusi 35 prasmju apmācības programmas. Tomēr, ievērojot pakalpojuma mērķa grupas dažādās vajadzības un iespējas, Aģentūra nevar piedāvāt profesionālās kvalifikācijas ieguvi visām klientu grupām, lai nodrošinātu to iekļaušanos vai atgriešanos darba tirgū;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5.2. 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17. punktā aizstāt vārdus “nodoklis” ar vārdiem “nodokļa segšanai”.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Investīcijas kopējais finansējums ir 7 150 075 euro, tai skaitā kopējais attiecināmais Atveseļošanas fonda finansējums ir 6 000 000 euro un valsts budžeta finansējums (pievienotās vērtības nodokļa segšanai) ir ne vairāk kā 1 150 075 euro. Investīcijas kopējā finansējuma aprēķina metodikas apraksts sniegts šī ziņojuma pielikumā.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17.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19. punktā izvērtēt un precizēt vārdus “neattiecināmo finansējumu”, piemēram, aizstājot ar vārdiem ''finansējumu neattiecināmo izmaksu segšanai''  vai līdzīgu terminu.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19.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42. punktā atšifrēt kuri fondi te ir domāti un kurš plānošanas periods.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41. punkts (iepriekš 42. 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ziņojuma projekta 14.2.apakšpunktā normas viennozīmīgai izpratnei rādītāja sasniegšanas termiņu precizēt, norādot 2.ceturkšņa pēdējo datumu, t.i. 30.jūniju.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14.2. 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ziņojuma projekta 15.1.apakšpunktā Eiropas Savienības Padomes īstenošanas lēmuma datumu uz 6.jūliju.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15.1. 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informatīvā ziņojuma 30.un 33.punktos nav norādīts, kas īstenos visas 22.punktā norādītās atbalstāmās darbības, lūdzam skaidrot, vai pareizi saprotam, ka 22.2.3., 22.2.4. un 22.3. apakšpunktos noteiktās arbalstāmās darbības īstenos finansējuma saņēmējs?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22.2.3., 22.2.4. un 22.3. apakšpunktā noteiktās atbalstāmās darbības īstenos finansējuma saņēmējs, t.sk. piesaistot piegādātājus un pakalpojuma sniedzējus atbilstoši Publisko iepirkumu 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vai pareizi saprotam, ka Valsts sabiedrība ar ierobežotu atbildību “Šampētera nams” uzskatāms kā sadarbības partneris? Ja tā, būtu lūgums to atrunāt informatīvajā ziņojumā.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Valsts sabiedrība ar ierobežotu atbildību “Šampētera nams” investīcijas projektā nav sadarbības partneris, bet piedalīsies investīcijas projekta īstenošanā, pildot pienākumus saskaņā ar Ministru kabineta 1994. gada 27. decembra rīkojuma Nr. 578-r “Par bezpeļņas organizāciju valsts uzņēmumu “Šampētera nams”” 2.1. apakšpunkta uzdevumu “apsaimniekot, uzturēt, remontēt un atjaunot Labklājības ministrijas valdījumā nodotos nekustamos īpašumus” un pienākumus, kas noteikti 2018. gada 28. februāra līgumā “Līgums par Labklājības ministrijas nekustamo īpašumu pārvaldīšanu un savstarpējo sadarbību Labklājības ministrijas nekustamo īpašumu pārvaldīšanas politikas izstrādē un īstenošanā” un 2018. gada  31. jūlijā starp SIVA un Valsts sabiedrību ar ierobežotu atbildību “Šampētera nams” noslēgtajā apsaimniekošanas līgumā (skat. informatīvā ziņojuma 33.punktu).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41. punktā ar zemsvītras atsauci pie vārda “fondu” ar vārdiem “Eiropas Savienības Eiropas Reģionālā attīstības fonda, Eiropas Sociālā fonda Plus, Kohēzijas fonda un Taisnīgas pārkārtošanās fonds”, ja nepieciešams, papildinot arī ar citiem fondiem.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41.punkts papildināts ar zemsvītras atsauci.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informatīvā ziņojuma 23.5.apakšpunktu attiecībā uz neattiecināmajām izmaksām lietoto terminoloģiju, aizstājot, piemēram, ar vārdiem “izmaksas, kas netiek finansētas no Atveseļošanas fonda”, ņemot vērā, ka neattiecināmās izmaksas būtu izmaksas, kas nav saskaņā ar reformas vai investīcijas īstenošanas nosacījumiem. Piemēram, PVN nav attiecināms no Atveseļošanas fonda finansējuma, bet šādas izmaksas ir iekļaujamas Atveseļošanas fonda projekta ietvaros, līdz ar to nevar uzskatīt PVN par projekta neattiecināmajām izmaksām.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23.5.apakšpunkts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32.punktu ar vārdiem “un kuru lietošanas tiesības ir nostiprinātas Valsts vienotajā datorizētajā zemesgrāmatā”.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32.punkts ir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- 06.05.2022.)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ziņojuma projekta 34.5.apakšpunktu ar informāciju, ka informācijas un publicitātes izmaksas, atbilstoši izziņas 16.punktā minētajam, informācijas finansējuma saņēmējs nodrošina no saviem līdzekļiem.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22.3. apakšpunkts ir papildināts ar zemsvītras atsauci.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informatīvā ziņojuma projekta 43.punktu izteikt šādā redakcijā: “Jautājums par papildu nepieciešamo finansējumu, lai nodrošinātu moderna, pieredzē un praksē balstīta kompetenču centra, tai skaitā neformālo aprūpētāju, sociālās nozares, izglītības nozares un citu speciālistu apmācībai darbam ar personām ar funkcionāliem traucējumiem, darbību, šī ziņojuma 22.1.1. un 22.1.3.apakšpunktā minēto atbalstāmo darbību ietvaros izveidotās sociālās un profesionālās rehabilitācijas pakalpojuma un kompetenču attīstības programmas ilgtspējas nodrošināšanai pēc investīcijas projekta beigām, tiks skatīts Ministru kabinetā gadskārtējā valsts budžeta likumprojekta un vidēja termiņa budžeta ietvara likumprojekta sagatavošanas un izskatīšanas procesā kopā ar visu ministriju iesniegtajiem pieteikumiem prioritārajiem pasākumiem atbilstoši valsts budžeta finansiālajām iespējām, Labklājības ministrijai iesniedzot attiecīgu pieteikumu prioritārajam pasākumam.”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43. punkta redakcija ir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Informatīvais ziņojums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Informatīvais ziņojums par Eiropas Savienības Atveseļošanas un noturības mehānisma plāna 3.1. reformu un investīciju virziena “Reģionālā politika” reformas 3.1.2.r. “Sociālo un nodarbinātības pakalpojumu pieejamība minimālo ienākumu reformas atbalstam” 3.1.2.4.i. investīcijas “Sociālās un profesionālās rehabilitācijas pakalpojumu sinerģiska attīstība cilvēku ar funkcionāliem traucējumiem drošumspējas veicināšanai” īstenošanu un uzraudzību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- 24.05.2022.)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ziņojuma projekta 8.3.apakšpunktā veikto papildinājumu attiecībā uz sociālās nozares, izglītības nozares un citiem speciālistiem, lūdzam atbilstoši papildināt arī ziņojuma projekta 9.punktā informāciju par pakalpojuma saturā iekļaujamajām kompetenču attīstības programmām.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Informatīvā ziņojuma 9. punkta redakcija ir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3. komponentes “Nevienlīdzības mazināšana” 3.1. reformu un investīciju virziena “Reģionālā politika” 3.1.2.4.i. investīcijas “Sociālās un profesionālās rehabilitācijas pakalpojumu sinerģiska attīstība cilvēku ar funkcionāliem traucējumiem drošumspējas veicināšanai” īstenošanu"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- 21.02.2022.)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MK sēdes protokollēmuma projekta nosaukumā svītrot vārdus “Informatīvais ziņojums”, ņemot vērā, ka tie tiek lietoti divas reizes.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projekta nosaukums ir precizēts.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Informatīvais ziņojums "Informatīvais ziņojums par Eiropas Savienības Atveseļošanas un noturības mehānisma plāna 3. komponentes “Nevienlīdzības mazināšana” 3.1. reformu un investīciju virziena “Reģionālā politika” 3.1.2.4.i. investīcijas “Sociālās un profesionālās rehabilitācijas pakalpojumu sinerģiska attīstība cilvēku ar funkcionāliem traucējumiem drošumspējas veicināšanai” īstenošanu"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21-TA-463</w:t>
    </w:r>
    <w:r>
      <w:br/>
    </w:r>
    <w:r w:rsidR="00000000" w:rsidRPr="00000000" w:rsidDel="00000000">
      <w:rPr>
        <w:rtl w:val="0"/>
      </w:rPr>
      <w:t xml:space="preserve">07.06.2022. 09.15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21-TA-463</w:t>
    </w:r>
    <w:r>
      <w:br/>
    </w:r>
    <w:r w:rsidR="00000000" w:rsidRPr="00000000" w:rsidDel="00000000">
      <w:rPr>
        <w:rtl w:val="0"/>
      </w:rPr>
      <w:t xml:space="preserve">07.06.2022. 09.15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Izziņa_21-TA-463.docx</dc:title>
</cp:coreProperties>
</file>

<file path=docProps/custom.xml><?xml version="1.0" encoding="utf-8"?>
<Properties xmlns="http://schemas.openxmlformats.org/officeDocument/2006/custom-properties" xmlns:vt="http://schemas.openxmlformats.org/officeDocument/2006/docPropsVTypes"/>
</file>