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23-TA-1155: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18. aprīļa noteikumos Nr. 197 "Atbalsta piešķiršanas kārtība Eiropas Lauksaimniecības fonda lauku attīstībai platībatkarīgo un dzīvniekatkarīgo saistību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18. aprīļa noteikumos Nr. 197 "Atbalsta piešķiršanas kārtība Eiropas Lauksaimniecības fonda lauku attīstībai platībatkarīgo un dzīvniekatkarīgo saistību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(LBB - 07.06.2023.)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LBB nesaskaņo noteikumu projektu,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ņemts vērā publiskajā apspriešanā LBB 23.05.2023. ierosinātais priekšlikums par projektu (23-TA-1155), papildinot noteikumu projektu ar jaunu punktu un veicot grozījumus MK noteikumu Nr.197 (5.punktā);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LBB tika maldināta projekta (ID 22-TA-3704) (t.i., apstiprināto MK noteikumu Nr.197) izstrādes un saskaņošanas laikā, jo projekta 22-TA-3704 saskaņošanas izziņā 89.punktā un anotācijā (sadaļā 1.3.) tika norādīts, ka LBB 15.02.2023. iebildums ir ņemts vērā un tika uzsvērts, ka “Lauku atbalsta dienests strādā pie iespējas nodrošināt sazināšanās iespējas šīs intervences atbalsta pretendentiem ar potenciālajiem apputeksnēšanas pakalpojuma saņēmējiem, izmantojot Lauku atbalsta dienesta elektroniskās pieteikšanās sistēmu, tādejādi neradot atbalsta saņēmējiem papildus administratīvas izmaksas par saskaņojuma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LBB vērš uzmanību, ka šobrīd MK noteikumos Nr.197 (5.punktā) noteiktā prasība par saskaņojumu rada lielu administratīvo slogu un administratīvās izmaksas, jo biškopji tērē nesamērīgi lielu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noskaidrotu zemes vienību kadastra numurus dažādās valsts informācijas sistēmās (atbalsta iesniegumam un saskaņojumam);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atrastu citu lauksaimnieku (zemes apsaimniekotāju) kontaktinformāciju (lai saņemtu piekrišanu un saskaņojumu). Atgādinām, ka zemes apsaimniekotāju kontaktinformācija nav publiski pieejama un nav arī nodrošinātas saziņas iespējas elektroniskajā pieteikšanās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LBB vērš uzmanību, ka MK noteikumu Nr.197 (5.punkta) prasība par saskaņojumu rada lielu administratīvo slogu ne tikai biškopjiem, bet arī zemes apsaimniekotājiem, kā arī Lauku atbalsta dienestam. Tas nozīmē, ka netiek ņemts vērā Regulas Nr. 2021/2115  6.panta 3.punkts, kas paredz, ka “dalībvalstis ar Komisijas atbalstu veic vajadzīgos pasākumus, lai samazinātu administratīvo slogu un nodrošinātu KLP īstenošanas vienkāršošanu”.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LBB aicina Zemkopības ministriju kā noteikumu projekta sagatavotāju papildināt noteikumu projektu (ID 23-TA-1155) ar jaunu punktu un veikt grozījumus MK noteikumu Nr.  197  5.punktā, tas ir, dzēšot prasības par saskaņojumu un precizējot nosacījumus, attiecīgi paredzot, ka MK noteikumu Nr.197 2.1.4. apakšpunktā minētajā intervencē atbalstu var saņemt gan par šo noteikumu 3. punktā minēto zemi, gan arī par cita lauksaimnieka apsaimniekošanā esošu zemi, kurā tiek nodrošināta apputeksnēšana un kura atrodas bišu lidojuma attālumā (trīs kilometru rādiusā no bišu stropu pastāvīgās novietnes vai pagaidu atrašanās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Lauku atbalsta dienests šobrīd turpina strādāt pie iespējas nodrošināt sazināšanās iespējas intervences LA10.5. atbalsta pretendentiem ar potenciālajiem apputeksnēšanas pakalpojuma saņēmējiem, izmantojot Lauku atbalsta dienesta elektroniskās pieteikšanās sistēmu, tādejādi neradot atbalsta saņēmējiem papildus administratīvas izmaksas par saskaņojuma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skaidrojam, ka iekļaujot izmaiņas atbalsta intervencē LA10.4. "Biškopības vienību apsaimniekošana apputeksnēšanas vajadzībām", tās būtu pretrunā ar Eiropas Komisijas apstiprināto Latvijas Kopējās lauksaimniecības politikas stratēģisko plānu 2023.-2027. gadam (pieejams šeit: https://www.zm.gov.lv/lv/latvijas-kopejas-lauksaimniecibas-politikas-strategiskais-plans-2023-2027gadam-0), kur 660. lapaspusē pie intervences LA10.4. sadaļā "Cita būtiska informācija" ir uzsvērta norāde: "To, ka konkrētajās platībās tiek veikta bišu saimju ganīšana un apputeksnēšanas pakalpojumu sniegšana apstiprinās īpašumtiesības vai cita lauksaimnieka piekrišana, atbilstoši valsts tiesību aktos noteiktajai kārtībai."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18. aprīļa noteikumos Nr. 197 "Atbalsta piešķiršanas kārtība Eiropas Lauksaimniecības fonda lauku attīstībai platībatkarīgo un dzīvniekatkarīgo saistību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sniegtajai informācijai Ministru kabineta 2023. gada 18. aprīļa noteikumos Nr. 197 "Atbalsta piešķiršanas kārtība Eiropas Lauksaimniecības fonda lauku attīstībai platībatkarīgo un dzīvniekatkarīgo saistību īstenošanai" (turpmāk – noteikumi Nr. 197)  plānoti </w:t>
            </w:r>
            <w:r w:rsidR="00000000" w:rsidRPr="00000000" w:rsidDel="00000000">
              <w:rPr>
                <w:u w:val="single"/>
                <w:rtl w:val="0"/>
              </w:rPr>
              <w:t xml:space="preserve">tehniski precizējumi</w:t>
            </w:r>
            <w:r w:rsidR="00000000" w:rsidRPr="00000000" w:rsidDel="00000000">
              <w:rPr>
                <w:rtl w:val="0"/>
              </w:rPr>
              <w:t xml:space="preserve">. Norādām, ka atbilstoši Ministru kabineta 2009. gada 3. februāra noteikumu Nr.108 "Normatīvo aktu projektu sagatavošanas noteikumi" 3.</w:t>
            </w:r>
            <w:r w:rsidR="00000000" w:rsidRPr="00000000" w:rsidDel="00000000">
              <w:rPr>
                <w:vertAlign w:val="superscript"/>
                <w:rtl w:val="0"/>
              </w:rPr>
              <w:t xml:space="preserve">1</w:t>
            </w:r>
            <w:r w:rsidR="00000000" w:rsidRPr="00000000" w:rsidDel="00000000">
              <w:rPr>
                <w:rtl w:val="0"/>
              </w:rPr>
              <w:t xml:space="preserve"> punktam grozījumus normatīvajā aktā sagatavo, ja normatīvo aktu nepieciešams grozīt pēc būtības. Savukārt redakcionālus precizējumus sagatavo vienlaikus ar normatīvā akta grozījumiem pēc būtības. Minētā norma ieviesta, lai mazinātu normatīvo aktu grozīšanas biežumu. Attiecīgi, uzsverot anotācijā grozījumu tehnisko raksturu šķietami secināms, ka projekts nemaina regulējumu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plānoto grozījumu raksturu un, ja projektā paredzētie grozījumi tiešām ir tehniski, tad nevirzīt projektu apstiprināšanai Ministru kabinetā, bet gan tehniskos precizējumus veikt vienlaicīgi ar grozījumiem noteikumos Nr. 197 pēc būtības. Savukārt, konstatējot grozījumu būtiskumu,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labot anotācijā ietverto norādi uz to, ka plānotie grozījumi ir tikai tehniski;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konkrētāk skaidrot grozījumu nepieciešamību, norādot uz riskiem un problēmām, kuras plānots novērst, kā arī uzsverot plānoto grozījumu būtisko raksturu.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31.3.2. zaļā masa buferjoslā ne biežāk kā vienu reizi nopļaujama un novācama no lauka, ja tā tiek apsaimniekota kārtējā sezonā līdz 15. septembrim. Ja zaļo masu saglabā neskartu līdz nākamās sezonas 15. martam, apaugumu nopļauj pilnā garumā līdz ar zemi un atstāj vai sasmalcina;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- 31.05.2023.)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līdzīgi kā noteikumu 31.3.1.apakšpunktā paredzēt, ka zaļā masa buferjoslā var tikt pļauta biežāk kā vienu reizi sezonā, ja tas nepieciešams ekspansīvo, invazīvo augu, piemēram, Kanādas zeltslotiņas, izplatības ierobežošanai. Lūdzam papildināt anotācijā informāciju, ka grozījums ir atbalstāms no dabas aizsardzības viedokļa, jo veicinās ekspansīvo, invazīvo augu izplatības ierobežošanu.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31.3.2. zaļā masa buferjoslā nopļaujama un novācama no lauka ne biežāk kā vienu reizi līdz 15. septembrim, ja buferjosla tiek apsaimniekota kārtējā sezonā, vai biežāk labības un sēklkopības laukos, lai ierobežotu vējauzu un rudzusmilgu, kā arī citu ekspansīvo un invazīvo sugu izplatību sējumos. Ja zaļo masu saglabā neskartu līdz nākamās sezonas 15. martam, apaugumu nopļauj pilnā garumā līdz ar zemi un atstāj vai sasmalcina;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1.3. apakšpunktu un veikt papildinājumus un/vai sniegtās informācijas pārstrukturizēšanu, jo, piemēram, problēmas aprakstā nav skaidrota projektā risināmā problēma un daļa pašreizējās situācijas apraksta šķietami attiecināma uz problēmas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norādām, ka būtiskāko informāciju par problēmas analīzi norāda anotācijas 1.3. apakšpunktā. Sadaļā “Pašreizējā situācija” apraksta šī brīža situāciju, “Problēma” apraksta problēmu, savukārt sadaļā “Risinājums“ ieraksta attiecīgās problēmas risinājumu, kas paredzēts projektā. Ņemot vērā minēto, lūdzam veikt nepieciešamos labojumus, nodrošinot pilnīgu, skaidru un nepārprotamu projekta atspoguļojumu, skaidrojumus un ar to saistīto apstākļu izklāstu.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lietots termins "ģeotelpiskais iesniegums", kas, pamatojoties uz noteikumu Nr. 197 12. punktu, ir termina "atbalsta pieteikums" apzīmējums. Attiecīgi, pirmo reizi anotācijā minot ģeotelpisko iesniegumu, iesakām lietot noteikumos lietoto terminu "atbalsta pieteikums", nepieciešamības gadījumā norādot, ka turpmāk tiek lietots apzīmējums "ģeotelpiskais iesniegums".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- 31.05.2023.)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norādīt, ka sākotnēji noteikumos noteiktās rīcības laukmales apsaimniekošanai intervencē LA10.1. Zaļās joslas, nav dabas aizsardzības prasību izpildei, bet ir saistītas ar atbalsta maksājumu nosacījumu izpildi, administrēšanu, uzraudzību un kontroli. Noteikumu projektā iekļautie precizējumi, kas paredz, ka apaugumu var smalcināt vai nopļaut vairākas reizes sezonā pēc nepieciešamības, no dabas aizsardzības viedokļa ir atbalstāmi, jo veicinās sārņaugu (piemēram, vējauzu, rudzusmilgu) un invazīvo sugu ierobežošanu.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Komerclikuma 18. pantu termins "uzņēmums" apzīmē organizatoriski saimniecisku vienību un nevis komercdarbības vai saimnieciskās darbības subjektu, lūdzam izvērtēt un nepieciešamības gadījumā precizēt anotāciju termina "uzņēmums" vietā izmantojot terminu "komersants" vai "saimnieciskās darbības veicējs".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23-TA-1155</w:t>
    </w:r>
    <w:r>
      <w:br/>
    </w:r>
    <w:r w:rsidR="00000000" w:rsidRPr="00000000" w:rsidDel="00000000">
      <w:rPr>
        <w:rtl w:val="0"/>
      </w:rPr>
      <w:t xml:space="preserve">13.06.2023. 09.55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23-TA-1155</w:t>
    </w:r>
    <w:r>
      <w:br/>
    </w:r>
    <w:r w:rsidR="00000000" w:rsidRPr="00000000" w:rsidDel="00000000">
      <w:rPr>
        <w:rtl w:val="0"/>
      </w:rPr>
      <w:t xml:space="preserve">13.06.2023. 09.55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Izziņa_23-TA-1155.docx</dc:title>
</cp:coreProperties>
</file>

<file path=docProps/custom.xml><?xml version="1.0" encoding="utf-8"?>
<Properties xmlns="http://schemas.openxmlformats.org/officeDocument/2006/custom-properties" xmlns:vt="http://schemas.openxmlformats.org/officeDocument/2006/docPropsVTypes"/>
</file>