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23-TA-1650: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Krimināllikuma spēkā stāšanās un piemērošanas kārtību”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viela etorfīns ir īpaši svarīga veterinārmedicīnā un Zemkopības ministrija ir informējusi gan Veselības ministriju, gan Zāļu valsts aģentūru par nepieciešamību atkāpes noteikšanai šīs vielas izmantošanai veterinārmedicīnā, aicinām likumprojektu papildināt ar atkāpi attiecībā uz etorfīna izmantošanu veterinārmedicīnā.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ārstējot dažādu sugu dzīvniekus, tostarp arī zooloģiskajā dārzā turētus dzīvniekus, izņēmuma gadījumos veterinārmedicīniskā pakalpojuma sniegšanai (piemēram, dzīvnieka imobilizācijai) nepieciešamas zāles un vielas, kas iekļautas Latvijā kontrolējamo narkotisko vielu, psihotropo vielu un prekursoru I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dzīvnieku nepieļaujamas ciešanas un nodrošinātu dzīvnieku veselībai nozīmīgu, bet reti lietojamu zāļu pieejamību, ir jānodrošina iespēja izņēmuma gadījumos, saņemt zāles, kas satur  Latvijā kontrolējamo narkotisko vielu, psihotropo vielu un prekursoru I saraksta vielas.  Piemēram, gadījumos, kad  Rīgas Nacionālajam zooloģiskajam dārzam dažādu eksotisku dzīvnieku (tostarp tīģeru, kiangu, zebru, žirafu, nīlzirgu, impalu, dižantilopu, mājas jaku, Prževaļska zirgu, vītņragu kazu, zilo aitu un brūno lāču) imobilizācijai/anestezēšanai zinātniski pētnieciskiem mērķiem (paraugu iegūšana laboratoriskiem izmeklējumiem), veterinārmedicīniskajām manipulācijām (nagu apkope, kastrācija, brūču apkope, ārstēšana vispārējas saslimšanas gadījumā u.c.), un dzīvnieku izbēgšanas gadījumos nepieciešamas etorfīnu saturošas veterinārās zāles “M 99”, kuras saskaņā ar likuma “Par Krimināllikuma spēkā stāšanās un piemērošanas kārtību” 2. pielikuma 6. punkta trešo apakšpunktu ir iekļautas Latvijā kontrolējamo narkotisko vielu, psihotropo vielu un prekursoru I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II nodaļas 6. punkta 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"Etorfīns (izņemot lietošanai veterinārmedicīniskām manipulācijām)"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vielas etorfīns nozīmi veterinārmedicīnā, minētajai vielai tiek paredzēts izņēmums lietošanai veterinārmedicīniskām manipulācijā, vienlaikus tā tiks kontrolēta kā I saraksta viela. Minētais grozījums stāsies spēkā vienlaikus ar saistītiem grozījumiem Narkotisko un psihotropo vielu un zāļu, kā arī prekursoru likumīgās aprites likumā u.c.tiesību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 nodaļu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1 </w:t>
            </w:r>
            <w:r w:rsidR="00000000" w:rsidRPr="00000000" w:rsidDel="00000000">
              <w:rPr>
                <w:rtl w:val="0"/>
              </w:rPr>
              <w:t xml:space="preserve">Ja kāda no III sarakstā iekļautajām vielām pēc ķīmiskās uzbūves atbilst arī II saraksta vielām, uz šo vielu nav attiecināmi II saraksta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III nodaļas 13. punktu ar 16</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84"/>
              <w:gridCol w:w="772"/>
              <w:gridCol w:w="538"/>
              <w:gridCol w:w="512"/>
              <w:gridCol w:w="467"/>
              <w:tblGridChange w:id="0">
                <w:tblGrid>
                  <w:gridCol w:w="184"/>
                  <w:gridCol w:w="772"/>
                  <w:gridCol w:w="538"/>
                  <w:gridCol w:w="512"/>
                  <w:gridCol w:w="46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w:t>
                  </w:r>
                  <w:r w:rsidR="00000000" w:rsidRPr="00000000" w:rsidDel="00000000">
                    <w:rPr>
                      <w:sz w:val="24"/>
                      <w:vertAlign w:val="superscript"/>
                      <w:rtl w:val="0"/>
                    </w:rPr>
                    <w:t xml:space="preserve">1</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butorfanols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42408-82-2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0,2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Viela butorfanols ir vairāku Latvijā reģistrētu veterināro zāļu aktīvā viela, kas indicētas kaķiem, suņiem un zirgiem. Zirgiem butorfanola saturošas zāles lieto kā pretsāpju līdzekli koliku gadījumos, kā arī īslaicīgai sedācijai. Suņiem un kaķiem – kā pretsāpju un sedācijas 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Butorfanola saturošas zāles Latvijā ir plaši izmantotas veterinārmedicīnā. To izmantošana ir būtiski svarīga “mobilajās” klīnikās, kas nodrošina izbraukumus pie dzīvniekiem, kā arī pirmās palīdzības sniegšanā dzīvniekiem kritiskos gadījumos, piemēram,  smagas plaušu tūskas gadījumos, kad citu zāļu kombinācijas, mainot asinsspiedienu, var apdraudēt dzīvnieka dzīvību.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Butorfanols ir vienas no atbilstošākajām zālēm īsu un nesāpīgu diagnostisko izmeklēšanu veikšanai agresīviem un ļoti kustīgiem dzīvniekiem, jo tā iedarbība ir īslaicīga, viegla un vienlaicīgi droša dzīvniekam.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spēkā esošo regulējumu, butorfanola saturošās zāles atļauts izplatīt tikai praktizējošiem veterinārārstiem, nodrošinot zāļu izplatīšanas un lietošanas izsekojamību. Nav lietderīgi palielināt administratīvo slogu nozarei un apdraudēt zāļu pieejamību Latvijas tirgū, ņemot vērā, ka butorfanolu saturošās zāles tiek izplatītas nelielos apjomos. Mazo izplatīšanas apjomu dēļ jau tā daudzi veterināro zāļu tirdzniecības atļaujas turētāji zāles nereģistrē Latvijas tirgum, bet administratīvā sloga palielināšana zāļu reģistrācijai, uzskaitei un izplatīšanai var negatīvi ietekmēt butorfanolu saturošu veterināro zāļu pieejamību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Latvijas zāļu reģistrā nav iekļautas butorfanolu saturošas cilvēkiem paredzētās zāles. Butorfanolu saturošas zāles tiek lietotas tikai veterinārmedicīniskās prakses iestādēs (dzīvnieku ārstēšanai).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pieejami statistikas dati attiecībā uz aktīvās vielas butorfanola reģistrētu nelegālo apriti un ļaunprātīgu lietošanu apreibinošos nolūkos, kā arī nav informācijas, ka veterinārās zāles ir nonākušas nelegālā apritē un notikusi to ļaunprātīga lietošana.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pieejami dati par butorfanola saturošu veterināro zāļu izņemšanu no nelegālās aprites, kas apdraudējusi cilvēku veselību un dzīvību. Eiropas Narkotiku un narkomānijas uzraudzības centra (EMCDDA) sistēmā par jaunajām psihoaktīvajām vielām (European Database on New Drugs -EDND) nav atrodama informācija par butorfanolu (nav pieejami dati par butorfanola izraisītiem nāves gadījumiem), kā arī EMCDDA neveic šīs vielas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butorfanols ir levorfanola struktūranalogs, jāņem vērā to atšķirīgās farmakoloģiskās īpašības un darbības mehānisms. Levorfanols ir ilgstošas iedarbības viela ar augstu saistīšanās spēju ar (ar stimulējošu iedarbību uz) visiem (μ, δ un κ) opioīdu receptoriem. Savukārt butorfanols ir īsas iedarbības viela ar stimulējošu iedarbību uz kappa (κ) receptoriem (sāpju mazināšana) un sigma (δ) receptoriem (klepus nomākšana) un antagonisku iedarbību uz mu (μ) receptoriem (sāpju mazināšana, eiforija, sedācija, slikta dūša, elpošanas nomākums, aizcietējums). Butorfanolam piemīt spēcīgas pretsāpju un nomierinošas īpašības bez elpošanas nomākuma.</w:t>
            </w:r>
            <w:r w:rsidR="00000000" w:rsidRPr="00000000" w:rsidDel="00000000">
              <w:rPr>
                <w:i w:val="1"/>
                <w:rtl w:val="0"/>
              </w:rPr>
              <w:t xml:space="preserve"> </w:t>
            </w:r>
            <w:r w:rsidR="00000000" w:rsidRPr="00000000" w:rsidDel="00000000">
              <w:rPr>
                <w:rtl w:val="0"/>
              </w:rPr>
              <w:t xml:space="preserve">Butorfanola galvenā terapeitiskā iedarbība ir vieglu vai vidēji smagu sāpju mazināšana, bet levorfanola - vidēju un smagu sāpju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Veselības organizācija ir veikusi butorfanola izvērtējumu un 2006. gada 34.pārskatā (https://apps.who.int/iris/bitstream/handle/10665/43608/9789241209427_eng.pdf;jsessionid=286699AA19B8EFD0A0931DC71DD64A97?sequence=1, 16.lpp)  publicējusi gala ziņojumu un rekomendējusi noraidīt butorfanola iekļaušanu pastiprinātas uzraudzības sarakstos, jo tā ļaunprātīgas lietošanas risks ir zems un tādējādi nerada būtiskus kaitējumus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Pasaules Veselības organizācijas rekomendācijām Zemkopības ministrija uzskata, ka nav nepieciešams uzlikt papildu administratīvo slogu butorfanolu saturošu zāļu lietošanai un izplatīšanai, lai neapgrūtinātu mobilo pakalpojumu un pirmās palīdzības pakalpojumu sniegšanu dzīvniekiem.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neatbalsta butorfanola iekļaušanu Latvijā kontrolējamo vielu II sarakstā un lūdz vielu butorfanols noteikt kā izņēmumu no Latvijā kontrolējamo narkotisko vielu, psihotropo vielu un prekursoru II saraksta vai iekļaut to Latvijā kontrolējamo narkotisko vielu, psihotropo vielu un prekursoru III sarakstā.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Viela butorfanols šobrīd Latvijā tiek kontrolēta kā likuma “Par Krimināllikuma spēkā stāšanās un piemērošanas kārtību” 2. pielikuma II saraksta (ļoti bīstamās narkotiskās vielas un tām pielīdzinātās psihotropās vielas, kuras atļauts izmantot medicīniskiem un zinātniskiem mērķiem) 13. punkta 59. apakšpunktā iekļautās vielas levorfanols atvasinājums un struktūranalogs. Tomēr, izvērtējot minētās vielas ļaunprātīgas lietošanas risku, kā arī, lai neuzliktu papildu administratīvo slogu butorfanolu saturošu zāļu lietošanai un izplatīšanai, lai neapgrūtinātu mobilo pakalpojumu un pirmās palīdzības pakalpojumu sniegšanu dzīvniekiem, viela butorfanols tiek iekļauta Latvijā kontrolējamo narkotisko vielu, psihotropo vielu un prekursoru III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jaunu veterināro zāļu iekļaušana Latvijā kontrolējamo vielu sarakstos būtiski ietekmē veterinārmedicīnas jomu, tostarp veterināro zāļu vairumtirgotājus, veterinārmedicīniskās prakses iestādes, praktizējošus veterinārārstus un dzīvnieku īpašniekus, tādēļ aicinām aizpildīt anotācijas 2. sadaļu "Tiesību akta projekta ietekmējamās sabiedrības grupas, ietekme uz tautsaimniecības attīstību un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jaunu veterināro zāļu iekļaušanu Latvijā kontrolējamo narkotisko vielu, psihotropo vielu un prekursoru sarakstos. Saskaņā ar likumprojektu Latvijā kontrolējamo narkotisko vielu, psihotropo vielu un prekursoru sarakstos kā individuālas vielas tiek iekļautas veterinārmedicīnā lietotas vielas butorfanols, tiletamīns, zolzepāms, kuras jau šobrīd klasificējamas kā kontrolei pakļautas vielas (butorfanols – kā II sarakstā iekļautās vielas levorfanols atvasinājums un struktūranalogs, zolazepāms – kā III sarakstā iekļautās vielas fludiazepāms struktūranalogs, tiletamīns – kā I sarakstā iekļautā viela (ģenēriskās sistēmas ietvaros zem grupas  1-arilcikloheksilamīni)). Tādejādi saskaņā ar likumprojektu tiek atļauta veterinārās vielas tiletamīns saturošu zāļu izmantošana veterinārmedicīnā, jo šobrīd saskaņā ar spēkā esošo normatīvo aktu prasībām Latvijā aizliegta I sarakstā iekļauto zāļu aprite. Tāpat, izvērtējot vielas butorfanols ļaunprātīgas lietošanas risku, kā arī, lai neuzliktu papildu administratīvo slogu butorfanolu saturošu zāļu lietošanai un izplatīšanai, lai neapgrūtinātu mobilo pakalpojumu un pirmās palīdzības pakalpojumu sniegšanu dzīvniekiem, viela butorfanols tiek iekļauta Latvijā kontrolējamo narkotisko vielu, psihotropo vielu un prekursoru III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veterinārmedicīnā lietojamo vielu kā individuāli iekļautu vielu iekļaušana sarakstos nerada papildu slogu, bet gan atvieglo uztveramību veterināro zāļu vairumtirgotājiem, veterinārmedicīniskās prakses iestādēm, praktizējošiem veterinārārstiem un dzīvnieku īpašniekiem, radot nepārprotamu un viegli interpretējamu tiesisko regulējumu, lai pieļautu konkrētas vielas apriti.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Krimināllikuma spēkā stāšanās un piemērošanas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spēkā esošais regulējums ir necaurspīdīgs un sadrumstalots un tiesisko normu interpretācija būtiski atšķiras attiecībā uz dažādām jomām, atkārtoti aicinām pārskatīt esošo narkotisko un psihotropo vielu un zāļu regulējumu, lai izveidotu harmonizētu, nepārprotamu un viegli interpretējamu tiesisko regulējumu, diskusijās iesaistot visu iesaistīto jomu ekspertus.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efektīvi risinātu jautājumus saistībā ar nepieciešamajām izmaiņām narkotisko un psihotropo vielu un zāļu aprites regulējošos normatīvajos aktos, Slimību profilakses un kontroles centrs š.g. 8.maijā (vēstule Nr. Nr. 1-8.2/2023/846) ir aicinājis Ķīmijas ekspertu darba grupai pievienoties arī Pārtikas un veterinārā dienesta pārstāvi. Minētajā darba grupā jau piedalās Valsts policijas, Valsts ieņēmuma dienesta Muitas pārvaldes, Slimību profilakses un kontroles centra, Zāļu valsts aģentūras, Rīgas Psihiatrijas un narkoloģijas centra, kā arī Organiskās sintēzes institūta eksperti – ķīmiķi. Līdz ar to, izvērtējot narkotisko un psihotropo vielu, kā arī prekursoru pakļaušanu kontrolei, būtiska nozīme ir sadarbībai ar Zemkopības ministriju un Pārtikas un veterināro dienestu, ņemot vērā minēto iestāžu kompetenci veterināro zāļu politikas izstrādes un aprites jomā. Darba grupā ir aicināts arī Zemkopības ministrijas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Krimināllikuma spēkā stāšanās un piemērošanas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II nodaļas 11. punktu ar 25), 26) un 27)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84"/>
              <w:gridCol w:w="671"/>
              <w:gridCol w:w="650"/>
              <w:gridCol w:w="618"/>
              <w:tblGridChange w:id="0">
                <w:tblGrid>
                  <w:gridCol w:w="684"/>
                  <w:gridCol w:w="671"/>
                  <w:gridCol w:w="650"/>
                  <w:gridCol w:w="61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N-(2-aminocikloheksil) benzamīdi un N-(2-aminocikloheksil)-2-fenilacetamīdi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N-(2-aminocikloheksil) benzamīds un N-(2-aminocikloheksil)-2-fenilacetamīds un jebkurš savienojums, kas atvasināts no N-(2-aminocikloheksil)benzamīda un N-(2-aminocikloheksil)-2-fenilacetamīda: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 neaizvietojot vai aizvietojot vienu vai abus aminogrupas ūdeņraža atomus vai iekļaujot to ciklā;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 neaizvietojot vai aizvietojot ūdeņraža atomu amīdgrupā;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 neaizvietojot vai aizvietojot ūdeņraža atomus benzola vai ciklohensāna gredzenā ar vienu vai vairākiem vienādiem vai dažādiem aizvietotājiem, tostarp veidojot papildinošus ciklus;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 nomainot benzola gredzenu ar citu ciklisku, no benzola gredzena atšķirīgu aromātisku struktūru, kas var būt aizvietota.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0,001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N-[(1-aminocikloheksil)metil] benzamīdi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N-[(1-aminocikloheksil)metil] benzamīds un jebkurš savienojums, kas atvasināts no N-[(1-aminocikloheksil)metil] benzamīda: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 aizvietojot vienu vai abus aminogrupas ūdeņraža atomus vai iekļaujot to ciklā;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 aizvietojot ūdeņraža atomu amīdgrupā;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 neaizvietojot vai aizvietojot ūdeņraža atomus benzola vai ciklohensāna gredzenā ar vienu vai vairākiem vienādiem vai dažādiem aizvietotājiem, tostarp veidojot papildinošus ciklus;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 nomainot benzola gredzenu ar citu ciklisku, no benzola gredzena atšķirīgu aromātisku struktūru, kas var būt aizvietota.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0,001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N-(2-aminocikloheksil)-N-fenilformamīdi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N-(2-aminocikloheksil)-N-fenilformamīds un jebkurš savienojums, kas atvasināts no N-(2-aminocikloheksil)-N-fenilformamīda: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 aizvietojot vienu vai abus aminogrupas ūdeņraža atomus vai iekļaujot to ciklā;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 neaizvietojot vai aizvietojot ūdeņraža atomus benzola vai ciklohensāna gredzenā ar vienu vai vairākiem vienādiem vai dažādiem aizvietotājiem, tostarp veidojot papildinošus ciklus;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 aizvietojot ūdeņraža atomu pie karbonilgrupas ar neaizvietotu vai aizvietotu alkilgrupu vai ciklisku struktūru.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0,001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g</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Ģenēriskajās grupās 25), 26) un 27) apakšpunktā iekļaujamās vielas, kas tiks izņemtas no likuma 2.pielikuma II nodaļas 5. punkta 4), 5), 6), 7) un 8) apakšpunkta, patlaban ir sintētiskie opioīdie analgētiki, un ir narkotiskās vielas. Vielas U-47700 un AH-7921 ir klasificētas atbilstoši 1961.gada Vienotajai konvencijai kā narkotiskās 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lūdzu izvērtēt, vai ir pareizi mainīt vielu klasifikāciju no narkotiskajām vielām, attiecīgi ievietojot tās ģenēriskajās grupās 25), 26) un 27) apakšpunktā, kur tās būs kā psihotropas vielas.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Ģenēriskajās grupās 25), 26) un 27) apakšpunktā iekļaujamās vielas ir pārceltas uz II nodaļas 8.punktu (apakšpunkti 6), 7), 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IV nodaļas 16. punktu ar 25</w:t>
            </w:r>
            <w:r w:rsidR="00000000" w:rsidRPr="00000000" w:rsidDel="00000000">
              <w:rPr>
                <w:vertAlign w:val="superscript"/>
                <w:rtl w:val="0"/>
              </w:rPr>
              <w:t xml:space="preserve">2</w:t>
            </w:r>
            <w:r w:rsidR="00000000" w:rsidRPr="00000000" w:rsidDel="00000000">
              <w:rPr>
                <w:rtl w:val="0"/>
              </w:rPr>
              <w:t xml:space="preserve">)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56"/>
              <w:gridCol w:w="775"/>
              <w:gridCol w:w="534"/>
              <w:gridCol w:w="513"/>
              <w:gridCol w:w="495"/>
              <w:tblGridChange w:id="0">
                <w:tblGrid>
                  <w:gridCol w:w="156"/>
                  <w:gridCol w:w="775"/>
                  <w:gridCol w:w="534"/>
                  <w:gridCol w:w="513"/>
                  <w:gridCol w:w="49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w:t>
                  </w:r>
                  <w:r w:rsidR="00000000" w:rsidRPr="00000000" w:rsidDel="00000000">
                    <w:rPr>
                      <w:sz w:val="24"/>
                      <w:vertAlign w:val="superscript"/>
                      <w:rtl w:val="0"/>
                    </w:rPr>
                    <w:t xml:space="preserve">2</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flubromazepāms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2647-50-9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Flubromazepāms ir fenazepāma un nordazepāma struktūranalogs. Fenazepāmam apmērs, līdz kuram daudzumi atzīstami par nelieliem, ir 0,05g; nordazepāmam – 0,6g.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apmērus noteica pēc mazākās struktūranaloga apmēra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lūdzu izvērtēt, vai nevajadzētu flubromazepāma apmēru pēc analoģijas mainīt uz 0,05g.</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flubromazepāma apmērs, līdz kuram daudzumi atzīstami par nelieliem - 0,05g.</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IV nodaļas 16. punktu ar 25.</w:t>
            </w:r>
            <w:r w:rsidR="00000000" w:rsidRPr="00000000" w:rsidDel="00000000">
              <w:rPr>
                <w:vertAlign w:val="superscript"/>
                <w:rtl w:val="0"/>
              </w:rPr>
              <w:t xml:space="preserve">2</w:t>
            </w:r>
            <w:r w:rsidR="00000000" w:rsidRPr="00000000" w:rsidDel="00000000">
              <w:rPr>
                <w:rtl w:val="0"/>
              </w:rPr>
              <w:t xml:space="preserve">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56"/>
              <w:gridCol w:w="775"/>
              <w:gridCol w:w="534"/>
              <w:gridCol w:w="513"/>
              <w:gridCol w:w="495"/>
              <w:tblGridChange w:id="0">
                <w:tblGrid>
                  <w:gridCol w:w="156"/>
                  <w:gridCol w:w="775"/>
                  <w:gridCol w:w="534"/>
                  <w:gridCol w:w="513"/>
                  <w:gridCol w:w="49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w:t>
                  </w:r>
                  <w:r w:rsidR="00000000" w:rsidRPr="00000000" w:rsidDel="00000000">
                    <w:rPr>
                      <w:sz w:val="24"/>
                      <w:vertAlign w:val="superscript"/>
                      <w:rtl w:val="0"/>
                    </w:rPr>
                    <w:t xml:space="preserve">2</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flubromazepāms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2647-50-9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0,05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V nodaļas 18.punktu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 Pirmās kategorijas prekursori:</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52"/>
              <w:gridCol w:w="633"/>
              <w:gridCol w:w="550"/>
              <w:gridCol w:w="528"/>
              <w:gridCol w:w="509"/>
              <w:tblGridChange w:id="0">
                <w:tblGrid>
                  <w:gridCol w:w="252"/>
                  <w:gridCol w:w="633"/>
                  <w:gridCol w:w="550"/>
                  <w:gridCol w:w="528"/>
                  <w:gridCol w:w="50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Vielas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CAS Nr.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Apmērs, līdz kuram daudzumi atzīstami par nelieliem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Apmērs, sākot ar kuru daudzumi atzīstami par lieliem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alfa-fenilacetoacetamīds (APAA)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4433-77-6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alfa-fenilacetoacetonitrils (APAAN)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4468-48-8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dietil(fenilacetil)propāndioāts  (DEPAPD)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20320-59-6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efedrīns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299-42-3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ergometrīns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60-79-7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kg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ergotamīns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113-15-5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kg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etil alfa-fenilacetoacetāts (EAPA)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5413-05-8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etil 3-(2H-1,3-benzodioksol-5-il)-2-metiloksirān-2-karboksilāts (PMK etilglicidāts)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28578-16-7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izosafrols (cis + trans)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120-58-1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kg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lizergīnskābe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82-58-6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metil 3-okso-2-(3,4-metilēndioksifenil)butanoāts (MAMDPA)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1369021-80-6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metil-alfa-fenilacetoacetāts (MAPA)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16648-44-5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metil-2-metil-3-feniloksirān-2-karboksilāts (BMK metilglicidāts)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80532-66-7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metil-3-(1,3-benzodioksol-5-il)-2-metiloksirān-2-karboksilāts (PMK metilglicidāts)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13605-48-6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N-acetilantranilskābe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89-52-1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kg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N-fenil-1-(2-feniletil)piperidīn-4-amīns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21409-26-7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N-fenil-N-(piperidīn-4-il)propānamīds (norfentanils)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1609-66-1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N-fenilpiperidīn-4-amīns (4-AP)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23056-29-3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norefedrīns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14838-15-4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piperonāls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120-57-0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kg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pseidoefedrīns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90-82-4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safrols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94-59-7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kg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terc-butil 4-anilīnpiperidīn-1-karboksilāts (1-boc-4-AP)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125541-22-2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1-(2-feniletil)piperidīn-4-ons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39742-60-4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1-fenil-2-propanons (BMK)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103-79-7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2-metil-3-feniloksirān-2-karbonskābe (BMK glicīdskābe)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25547-51-7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3-(1,3-benzodioksol-5-il)-2-metiloksirān-2-karbonskābe (PMK glicīdskābe)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2167189-50-4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3,4-metilēndioksi-fenil-2-propanons (PMK)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4676-39-5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(1R,2S)-(-)-hlorefedrīns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110925-64-9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(1S,2R)-(+)-hlorefedrīns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1384199-95-4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(1S,2S)-(+)-hlorpseidoefedrīns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73393-61-0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(1R,2R)-(-)-hlorpseidoefedrīns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771434-80-1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atstāt arī vielas nosaukuma saīsinājumu – ANPP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N-fenil-1-(2-feniletil)piperidīn-4-amīns (ANPP), tāpat kā citām vielām šajā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atstāt arī vielas nosaukuma saīsinājumu – NPP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1-(2-feniletil)piperidīn-4-ons (NPP) tāpat kā citām vielām šajā sarakstā.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vielas N-fenil-1-(2-feniletil)piperidīn-4-amīns un  vielas 1-(2-feniletil)piperidīn-4-ons nosaukumi, norādot saīsinājumus.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V nodaļas 18.punktu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 Pirmās kategorijas prekursori:</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52"/>
              <w:gridCol w:w="633"/>
              <w:gridCol w:w="550"/>
              <w:gridCol w:w="528"/>
              <w:gridCol w:w="509"/>
              <w:tblGridChange w:id="0">
                <w:tblGrid>
                  <w:gridCol w:w="252"/>
                  <w:gridCol w:w="633"/>
                  <w:gridCol w:w="550"/>
                  <w:gridCol w:w="528"/>
                  <w:gridCol w:w="50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Vielas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CAS Nr.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Apmērs, līdz kuram daudzumi atzīstami par nelieliem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Apmērs, sākot ar kuru daudzumi atzīstami par lieliem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alfa-fenilacetoacetamīds (APAA)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4433-77-6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alfa-fenilacetoacetonitrils (APAAN)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4468-48-8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dietil(fenilacetil)propāndioāts  (DEPAPD)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20320-59-6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efedrīns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299-42-3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ergometrīns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60-79-7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kg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ergotamīns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113-15-5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kg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etil alfa-fenilacetoacetāts (EAPA)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5413-05-8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etil 3-(2H-1,3-benzodioksol-5-il)-2-metiloksirān-2-karboksilāts (PMK etilglicidāts)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28578-16-7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izosafrols (cis + trans)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120-58-1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kg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lizergīnskābe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82-58-6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metil 3-okso-2-(3,4-metilēndioksifenil)butanoāts (MAMDPA)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1369021-80-6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metil-alfa-fenilacetoacetāts (MAPA)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16648-44-5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metil-2-metil-3-feniloksirān-2-karboksilāts (BMK metilglicidāts)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80532-66-7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metil-3-(1,3-benzodioksol-5-il)-2-metiloksirān-2-karboksilāts (PMK metilglicidāts)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13605-48-6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N-acetilantranilskābe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89-52-1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kg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N-fenil-1-(2-feniletil)piperidīn-4-amīns (ANPP)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21409-26-7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N-fenil-N-(piperidīn-4-il)propānamīds (norfentanils)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1609-66-1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N-fenilpiperidīn-4-amīns (4-AP)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23056-29-3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norefedrīns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14838-15-4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piperonāls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120-57-0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kg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pseidoefedrīns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90-82-4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safrols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94-59-7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kg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terc-butil 4-anilīnpiperidīn-1-karboksilāts (1-boc-4-AP)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125541-22-2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1-(2-feniletil)piperidīn-4-ons (NPP)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39742-60-4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1-fenil-2-propanons (BMK)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103-79-7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2-metil-3-feniloksirān-2-karbonskābe (BMK glicīdskābe)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25547-51-7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3-(1,3-benzodioksol-5-il)-2-metiloksirān-2-karbonskābe (PMK glicīdskābe)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2167189-50-4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3,4-metilēndioksi-fenil-2-propanons (PMK)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4676-39-5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(1R,2S)-(-)-hlorefedrīns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110925-64-9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(1S,2R)-(+)-hlorefedrīns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1384199-95-4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(1S,2S)-(+)-hlorpseidoefedrīns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73393-61-0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(1R,2R)-(-)-hlorpseidoefedrīns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771434-80-1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Veselības ministrijas (turpmāk arī VM) sagatavoto projektu “Grozījums likumā “Par Krimināllikuma spēkā stāšanās un piemērošanas kārtību””  (turpmāk  - Projekts) un konceptuāli atbalsta Projekta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LDDK vērš uzmanību uz to, ka otrajā pielikumā ietvertajām vielām ir nesamērīgi lielas atšķirības starp pozīciju “Apmērs, līdz kuram daudzumi atzīstami par nelieliem” un pozīciju “Apmērs, sākot ar kuru daudzumi atzīstami par lieliem”.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tabulā "Sintētiskie opioīdie analgētiķi” attiecība starp nelieliem un lieliem apmēriem ir sākot no viens pret desmit (pozīcija Nr. 1; 5; un 7) līdz viens pret simtu (pozīcija Nr. 3.) un pat viens pret tūkstoti (pozīcija Nr 2; 4 un 8). Tas nozīmē, ka daļai narkotisko vielu daudzums, kas atzīstams par lielu, tikai desmitkārt pārsniedz nelielu apmēru, savukārt citām vielām daudzums, kas atzīstams par lielu, simtkārt un pat tūkstoškārt pārsniedz nelielu apmēru. LDDK ieskatā šāds diapazons ir pārāk plašs.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Likuma “Par Krimināllikuma spēkā stāšanās un piemērošanas kārtību” 2. pielikuma 1. punkts nosaka, ka vielām iedalījumu apmēri noteikti, ņemot vērā nelikumīgā apritē esošo narkotisko un psihotropo vielu kaitējumu cilvēka veselībai un bīstamības pakāpi. Nav pamata apšaubīt daudzu gadu garumā narkotisko un psihotropo vielu, farmācijas un ķīmijas ekspertu noteiktos apmērus sarakstos iekļautajām vielām. Daudzu gadu garumā tiesībsargājošās iestādes ir strādājušas, vadoties pēc likumā vielām noteiktajiem apmēriem, un līdz šim eksperti, kas praksē piemēro minētās normas, nav vērsuši Veselības ministrijas uzmanību uz noteikto apmēru diapazona nesamērīgumu.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kontrolējamo vielu iedarbība un līdz ar to radītais kaitējums un iespējamās sekas nav proporcionālas vielu daudzumam. Vielu apmēri nav vērtējami matemātiski un to farmakoloģiskā iedarbība nav lineāra. Vielu farmakoloģiskā (arī toksiskā) iedarbība, pirmkārt, ir atkarīga no konkrētas narkotiskās vai psihotropās vielas ķīmiskās struktūras un fizikāli ķīmiskām īpatnībām (šķīdība lipīdos, aktīvo metabolītu veidošanas ātrums u.t.t.). Narkotisko un psihotropo vielu aktivitāti nevar raksturot tikai ar uzņemto devu, bet, galvenokārt, ar ķīmisko struktūru, jo vielas organismā iedarbojas uz dažādiem receptoriem. Vielu farmakoloģisko iedarbību var raksturot ar efektīvu devu (ED). Letālā deva (LD) raksturo akūto toksicitāti. Nosakot ED un LD, farmakologi izmanto eksperimentālus dzīvniekus. Cilvēkam konkrētas narkotiskās un psihotropās vielas iedarbību uz organismu raksturo arī daži citi faktori (dzimums, vecums, veselības stāvoklis, tolerance u.t.t.). Tāpēc katras konkrētas narkotiskās vai psihotropās vielas efektivitāte atšķiras dažādām personām, savukārt, efektīvo devu nevar noteikt strikti. Vielas efektīvā deva ir atkarīga no pamatiedarbības mehānisma (stimulātori, depresanti, halucinogēni u.c.), ievadīšanas veida, vielas stabilitātes, no kumulācijas organismā, biotransformācijas (metabolisma) ātruma, izvadīšanas mehānisma. Tā, piemēram, vienas narkotiskas vielas dubulta deva var izraisīt nāvi, taču cita viela nāvi izraisīs tikai, ja tiek lietota, piemēram, desmitkārtīgi lielāka deva. Tāpat vēršam uzmanību, ka vielu norādītie apmēri attiecas tikai uz izņemtām tīrām vielām un neattiecas uz bioloģiskām vidēm. Kontrolējamo vielu apmērus nosaka Valsts policijas Kriminālistikas pārvaldes eksperti, veicot izņemto pulveru, drogu, maisījumu izpēti.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Iekšlietu ministrija sadarbībā ar citām iestādēm plāno vērtēt nepieciešamību paaugstināt apmērus, līdz kuriem vielu daudzumi atzīstami par nelieliem. Pēc kontrolējamām vielām noteiktajiem apmēriem vadās tiesībsargājošās iestādes, lai kvalificētu noziedzīgos nodarījumus. Tā, piemēram, atbilstoši Krimināllikuma 253.</w:t>
            </w:r>
            <w:r w:rsidR="00000000" w:rsidRPr="00000000" w:rsidDel="00000000">
              <w:rPr>
                <w:vertAlign w:val="superscript"/>
                <w:rtl w:val="0"/>
              </w:rPr>
              <w:t xml:space="preserve">2</w:t>
            </w:r>
            <w:r w:rsidR="00000000" w:rsidRPr="00000000" w:rsidDel="00000000">
              <w:rPr>
                <w:rtl w:val="0"/>
              </w:rPr>
              <w:t xml:space="preserve"> panta otrajai daļai par narkotisko vai psihotropo vielu neatļautu izgatavošanu, iegādāšanos, glabāšanu, pārvadāšanu vai pārsūtīšanu nelielā apmērā realizācijas nolūkā vai par narkotisko vai psihotropo vielu neatļautu realizēšanu nelielā apmērā — soda ar brīvības atņemšanu uz laiku līdz trim gadiem vai ar īslaicīgu brīvības atņemšanu, vai ar piespiedu darbu, vai ar naudas sodu. Savukārt Krimināllikuma 253. panta otrā daļa nosaka, ka par tādām pašām darbībām, ja tās izdarījusi personu grupa pēc iepriekšējas vienošanās vai ja tās izdarītas ar narkotiskajām vai psihotropajām vielām lielā apmērā, — soda ar brīvības atņemšanu uz laiku no trim līdz desmit gadiem, konfiscējot mantu vai bez mantas konfiskācijas, un ar probācijas uzraudzību uz laiku līdz trim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"Problēmas apraksts" par </w:t>
            </w:r>
            <w:r w:rsidR="00000000" w:rsidRPr="00000000" w:rsidDel="00000000">
              <w:rPr>
                <w:b w:val="1"/>
                <w:rtl w:val="0"/>
              </w:rPr>
              <w:t xml:space="preserve">tiletamīnu un zolazepāmu</w:t>
            </w:r>
            <w:r w:rsidR="00000000" w:rsidRPr="00000000" w:rsidDel="00000000">
              <w:rPr>
                <w:rtl w:val="0"/>
              </w:rPr>
              <w:t xml:space="preserve"> svītrot pēdējos trīs teikumus un aizstāt ar teikumu šādā redakcijā: "Saskaņā ar Pārtikas un veterinārā dienesta sniegto informāciju Eiropas Savienības dalībvalstīs veterinārās zāles Zoletil netiek pakļautas kontrolei, izņemot Francijā Zoletil tiek pakļautas kontrolei kā kontrolējamo narkotisko un psihotropo vielu sarakstos iekļautās zāles."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"Problēmas apraksts" par</w:t>
            </w:r>
            <w:r w:rsidR="00000000" w:rsidRPr="00000000" w:rsidDel="00000000">
              <w:rPr>
                <w:b w:val="1"/>
                <w:rtl w:val="0"/>
              </w:rPr>
              <w:t xml:space="preserve"> butorfanolu </w:t>
            </w:r>
            <w:r w:rsidR="00000000" w:rsidRPr="00000000" w:rsidDel="00000000">
              <w:rPr>
                <w:rtl w:val="0"/>
              </w:rPr>
              <w:t xml:space="preserve">svītrot šo rindkopas daļu: “Cilvēkos viela butorfanols var izraisīt miegainību, sliktu dūšu un reiboņus. Pārdozēšanas gadījumā cilvēkiem galvenā pazīme ir elpošanas nomākums. Kā antidotu var lietot opioīdu antagonistu (piemēram, naloksonu), lai samazinātu dzīvībai bīstamu centrālās nervu sistēmas un elpošanas nomākumu. Lietojot vielu butorfanolu ilgtermiņā, var iestāties atkarība. Viela butorfanols ietekmē centrālo nervu sistēmu tāpat kā citi opioīdu pretsāpju līdzekļi. Ņemot vērā opioīdiem līdzīgo iedarbību, vielas butorfanola lietotāji ir bieži pakļauti atkarības, ļaunprātīgas izmantošanas un nepareizas lietošanas riskam.”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skaidrojumā ir norādīts, ka nav pieejami statistikas dati attiecībā uz aktīvās vielas - butorfanols reģistrētu nelegālo apriti un ļaunprātīgu lietošanu apreibinošos nolūkos, kā arī nav informācijas, ka veterinārās zāles ir nonākušas nelegālā apritē un notikusi to ļaunprātīga lietošana, kā arī Eiropas Narkotiku un narkomānijas uzraudzības centra (EMCDDA) sistēmā par jaunajām psihoaktīvajām vielām (European Database on New Drugs -EDND) nav atrodama informācija par butorfanola izraisītiem nāves gadījumiem, kā arī EMCDDA neveic šīs vielas uzraudzību, uzskatām, ka nav konkrētu gadījumu, kas pierādītu rakstītā apgalvojuma patiesumu, kā arī apgalvojums ir pretrunā ar iepriekš aprakstīto butorfanola farmakoloģisko raksturojumu.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Zemkopības ministriju, ka tiek svītrots teikums: "Ņemot vērā opioīdiem līdzīgo iedarbību, vielas butorfanola lietotāji ir bieži pakļauti atkarības, ļaunprātīgas izmantošanas un nepareizas lietošanas riskam.".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"Risinājuma apraksts" par </w:t>
            </w:r>
            <w:r w:rsidR="00000000" w:rsidRPr="00000000" w:rsidDel="00000000">
              <w:rPr>
                <w:b w:val="1"/>
                <w:rtl w:val="0"/>
              </w:rPr>
              <w:t xml:space="preserve">Masitiniba mezilātu </w:t>
            </w:r>
            <w:r w:rsidR="00000000" w:rsidRPr="00000000" w:rsidDel="00000000">
              <w:rPr>
                <w:rtl w:val="0"/>
              </w:rPr>
              <w:t xml:space="preserve">otrajā teikumā aiz vārda "ārsts" papildināt ar vārdiem "vai praktizējošs veterinārārsts".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Vielu mastiniba mezilātu saturoši medikamenti Latvijā nemainīgi paliek recepšu medikamenti, tos var izrakstīt tikai ārsts vai veterinārārsts.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23-TA-1650</w:t>
    </w:r>
    <w:r>
      <w:br/>
    </w:r>
    <w:r w:rsidR="00000000" w:rsidRPr="00000000" w:rsidDel="00000000">
      <w:rPr>
        <w:rtl w:val="0"/>
      </w:rPr>
      <w:t xml:space="preserve">18.03.2024. 15.53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23-TA-1650</w:t>
    </w:r>
    <w:r>
      <w:br/>
    </w:r>
    <w:r w:rsidR="00000000" w:rsidRPr="00000000" w:rsidDel="00000000">
      <w:rPr>
        <w:rtl w:val="0"/>
      </w:rPr>
      <w:t xml:space="preserve">18.03.2024. 15.53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Izziņa_23-TA-1650.docx</dc:title>
</cp:coreProperties>
</file>

<file path=docProps/custom.xml><?xml version="1.0" encoding="utf-8"?>
<Properties xmlns="http://schemas.openxmlformats.org/officeDocument/2006/custom-properties" xmlns:vt="http://schemas.openxmlformats.org/officeDocument/2006/docPropsVTypes"/>
</file>